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2.png" ContentType="image/png"/>
  <Override PartName="/word/media/rId39.png" ContentType="image/png"/>
  <Override PartName="/word/media/rId43.png" ContentType="image/png"/>
  <Override PartName="/word/media/rId32.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MIB-derived</w:t>
      </w:r>
      <w:r>
        <w:t xml:space="preserve"> </w:t>
      </w:r>
      <w:r>
        <w:t xml:space="preserve">odor</w:t>
      </w:r>
      <w:r>
        <w:t xml:space="preserve"> </w:t>
      </w:r>
      <w:r>
        <w:t xml:space="preserve">management</w:t>
      </w:r>
      <w:r>
        <w:t xml:space="preserve"> </w:t>
      </w:r>
      <w:r>
        <w:t xml:space="preserve">based</w:t>
      </w:r>
      <w:r>
        <w:t xml:space="preserve"> </w:t>
      </w:r>
      <w:r>
        <w:t xml:space="preserve">upon</w:t>
      </w:r>
      <w:r>
        <w:t xml:space="preserve"> </w:t>
      </w:r>
      <w:r>
        <w:t xml:space="preserve">hydraulic</w:t>
      </w:r>
      <w:r>
        <w:t xml:space="preserve"> </w:t>
      </w:r>
      <w:r>
        <w:t xml:space="preserve">regulation</w:t>
      </w:r>
      <w:r>
        <w:t xml:space="preserve"> </w:t>
      </w:r>
      <w:r>
        <w:t xml:space="preserve">in</w:t>
      </w:r>
      <w:r>
        <w:t xml:space="preserve"> </w:t>
      </w:r>
      <w:r>
        <w:t xml:space="preserve">small</w:t>
      </w:r>
      <w:r>
        <w:t xml:space="preserve"> </w:t>
      </w:r>
      <w:r>
        <w:t xml:space="preserve">drinking</w:t>
      </w:r>
      <w:r>
        <w:t xml:space="preserve"> </w:t>
      </w:r>
      <w:r>
        <w:t xml:space="preserve">water</w:t>
      </w:r>
      <w:r>
        <w:t xml:space="preserve"> </w:t>
      </w:r>
      <w:r>
        <w:t xml:space="preserve">reservoirs:</w:t>
      </w:r>
      <w:r>
        <w:t xml:space="preserve"> </w:t>
      </w:r>
      <w:r>
        <w:t xml:space="preserve">principle</w:t>
      </w:r>
      <w:r>
        <w:t xml:space="preserve"> </w:t>
      </w:r>
      <w:r>
        <w:t xml:space="preserve">and</w:t>
      </w:r>
      <w:r>
        <w:t xml:space="preserve"> </w:t>
      </w:r>
      <w:r>
        <w:t xml:space="preserve">application</w:t>
      </w:r>
    </w:p>
    <w:p>
      <w:pPr>
        <w:pStyle w:val="Author"/>
      </w:pPr>
      <w:r>
        <w:t xml:space="preserve">Jinping</w:t>
      </w:r>
      <w:r>
        <w:t xml:space="preserve"> </w:t>
      </w:r>
      <w:r>
        <w:t xml:space="preserve">Lu</w:t>
      </w:r>
    </w:p>
    <w:p>
      <w:pPr>
        <w:pStyle w:val="Author"/>
      </w:pPr>
      <w:r>
        <w:t xml:space="preserve">Ming</w:t>
      </w:r>
      <w:r>
        <w:t xml:space="preserve"> </w:t>
      </w:r>
      <w:r>
        <w:t xml:space="preserve">Su</w:t>
      </w:r>
    </w:p>
    <w:p>
      <w:pPr>
        <w:pStyle w:val="Author"/>
      </w:pPr>
      <w:r>
        <w:t xml:space="preserve">Yuliang</w:t>
      </w:r>
      <w:r>
        <w:t xml:space="preserve"> </w:t>
      </w:r>
      <w:r>
        <w:t xml:space="preserve">Su</w:t>
      </w:r>
    </w:p>
    <w:p>
      <w:pPr>
        <w:pStyle w:val="Author"/>
      </w:pPr>
      <w:r>
        <w:t xml:space="preserve">Jiao</w:t>
      </w:r>
      <w:r>
        <w:t xml:space="preserve"> </w:t>
      </w:r>
      <w:r>
        <w:t xml:space="preserve">Fang</w:t>
      </w:r>
    </w:p>
    <w:p>
      <w:pPr>
        <w:pStyle w:val="Author"/>
      </w:pPr>
      <w:r>
        <w:t xml:space="preserve">Michael</w:t>
      </w:r>
      <w:r>
        <w:t xml:space="preserve"> </w:t>
      </w:r>
      <w:r>
        <w:t xml:space="preserve">Burch</w:t>
      </w:r>
    </w:p>
    <w:p>
      <w:pPr>
        <w:pStyle w:val="Author"/>
      </w:pPr>
      <w:r>
        <w:t xml:space="preserve">Tengxin</w:t>
      </w:r>
      <w:r>
        <w:t xml:space="preserve"> </w:t>
      </w:r>
      <w:r>
        <w:t xml:space="preserve">Cao</w:t>
      </w:r>
    </w:p>
    <w:p>
      <w:pPr>
        <w:pStyle w:val="Author"/>
      </w:pPr>
      <w:r>
        <w:t xml:space="preserve">Bin</w:t>
      </w:r>
      <w:r>
        <w:t xml:space="preserve"> </w:t>
      </w:r>
      <w:r>
        <w:t xml:space="preserve">Wu</w:t>
      </w:r>
    </w:p>
    <w:p>
      <w:pPr>
        <w:pStyle w:val="Author"/>
      </w:pPr>
      <w:r>
        <w:t xml:space="preserve">Jianwei</w:t>
      </w:r>
      <w:r>
        <w:t xml:space="preserve"> </w:t>
      </w:r>
      <w:r>
        <w:t xml:space="preserve">Yu</w:t>
      </w:r>
    </w:p>
    <w:p>
      <w:pPr>
        <w:pStyle w:val="Author"/>
      </w:pPr>
      <w:r>
        <w:t xml:space="preserve">Min</w:t>
      </w:r>
      <w:r>
        <w:t xml:space="preserve"> </w:t>
      </w:r>
      <w:r>
        <w:t xml:space="preserve">Yang</w:t>
      </w:r>
    </w:p>
    <w:p>
      <w:pPr>
        <w:pStyle w:val="Date"/>
      </w:pPr>
      <w:r>
        <w:t xml:space="preserve">2024-04-29</w:t>
      </w:r>
    </w:p>
    <w:p>
      <w:pPr>
        <w:pStyle w:val="AbstractTitle"/>
      </w:pPr>
      <w:r>
        <w:t xml:space="preserve">Abstract</w:t>
      </w:r>
    </w:p>
    <w:p>
      <w:pPr>
        <w:pStyle w:val="Abstract"/>
      </w:pPr>
      <w:r>
        <w:t xml:space="preserve">这项研究提出了一种基于水力调控的方法，用于控制小型水库中产生异萜酮(MIB)的蓝藻的生长，根据长期的野外调查、实验室培养实验、模型构建和现场应用的结果。野外调查发现较长的水力停留时间（HRT）是触发MIB事件的因素之一。培养研究揭示了最大细胞密度、产生MIB的</w:t>
      </w:r>
      <w:r>
        <w:rPr>
          <w:i/>
          <w:iCs/>
        </w:rPr>
        <w:t xml:space="preserve">Planktothricoides</w:t>
      </w:r>
      <w:r>
        <w:rPr>
          <w:i/>
          <w:iCs/>
        </w:rPr>
        <w:t xml:space="preserve"> </w:t>
      </w:r>
      <w:r>
        <w:rPr>
          <w:i/>
          <w:iCs/>
        </w:rPr>
        <w:t xml:space="preserve">raciborskii</w:t>
      </w:r>
      <w:r>
        <w:t xml:space="preserve">的生长速率和MIB浓度由HRT决定（R</w:t>
      </w:r>
      <w:r>
        <w:rPr>
          <w:vertAlign w:val="superscript"/>
        </w:rPr>
        <w:t xml:space="preserve">2</w:t>
      </w:r>
      <w:r>
        <w:t xml:space="preserve">=</w:t>
      </w:r>
      <w:r>
        <w:t xml:space="preserve"> </w:t>
      </w:r>
      <w:r>
        <w:t xml:space="preserve">0.94，</w:t>
      </w:r>
      <w:r>
        <w:rPr>
          <w:i/>
          <w:iCs/>
        </w:rPr>
        <w:t xml:space="preserve">p</w:t>
      </w:r>
      <w:r>
        <w:t xml:space="preserve">值</w:t>
      </w:r>
      <w:r>
        <w:t xml:space="preserve"> </w:t>
      </w:r>
      <w:r>
        <w:t xml:space="preserve">&lt;</w:t>
      </w:r>
      <w:r>
        <w:t xml:space="preserve"> </w:t>
      </w:r>
      <w:r>
        <w:t xml:space="preserve">0.001），并且可以通过将HRT减少到小于10天来最小化。在此基础上，建立了一个HRT调控模型，并通过野外调查进行了验证，并评估了14个蓝藻属的关键HRT值。通过将HRT减少到5.4</w:t>
      </w:r>
      <w:r>
        <w:t xml:space="preserve"> </w:t>
      </w:r>
      <w:r>
        <w:t xml:space="preserve">±</w:t>
      </w:r>
      <w:r>
        <w:t xml:space="preserve"> </w:t>
      </w:r>
      <w:r>
        <w:t xml:space="preserve">0.8天，低于7.5</w:t>
      </w:r>
      <w:r>
        <w:t xml:space="preserve"> </w:t>
      </w:r>
      <w:r>
        <w:t xml:space="preserve">~</w:t>
      </w:r>
      <w:r>
        <w:t xml:space="preserve"> </w:t>
      </w:r>
      <w:r>
        <w:t xml:space="preserve">15.0天的临界值，成功地终止了2021年ZXD水库的一个MIB事件。结果表明，该提出的原则可以为HRT调控提供科学依据，已证明是有效和可行的。这种方法避免了对水质的负面影响，不需要额外投资于工程基础设施，并且在某些情况下可以通过改变现有的操作程序来立即应用。因此，基于HRT的调控是一种有前途的策略，可以针对MIB的控制，可能也适用于小型水库中其他蓝藻来源的水质问题。</w:t>
      </w:r>
    </w:p>
    <w:bookmarkStart w:id="20" w:name="引言"/>
    <w:p>
      <w:pPr>
        <w:pStyle w:val="Heading1"/>
      </w:pPr>
      <w:r>
        <w:t xml:space="preserve">引言</w:t>
      </w:r>
    </w:p>
    <w:p>
      <w:pPr>
        <w:pStyle w:val="FirstParagraph"/>
      </w:pPr>
      <w:r>
        <w:t xml:space="preserve">源水库中因异萜酮（MIB）引起的土壤/霉味事件，其气味阈值浓度（OTC）低至10 ng L</w:t>
      </w:r>
      <w:r>
        <w:rPr>
          <w:vertAlign w:val="superscript"/>
        </w:rPr>
        <w:t xml:space="preserve">-1</w:t>
      </w:r>
      <w:r>
        <w:t xml:space="preserve">，常常是饮用水行业的一个主要关注点</w:t>
      </w:r>
      <w:r>
        <w:t xml:space="preserve">(Izaguirre and Taylor, 2004; Jüttner and Watson, 2007; Watson, 2004)</w:t>
      </w:r>
      <w:r>
        <w:t xml:space="preserve">。活性炭吸附已被广泛用于MIB去除</w:t>
      </w:r>
      <w:r>
        <w:t xml:space="preserve">(Li et al., 2019; Zamyadi et al., 2015)</w:t>
      </w:r>
      <w:r>
        <w:t xml:space="preserve">。然而，当源水中MIB浓度超过200 ng L</w:t>
      </w:r>
      <w:r>
        <w:rPr>
          <w:vertAlign w:val="superscript"/>
        </w:rPr>
        <w:t xml:space="preserve">-1</w:t>
      </w:r>
      <w:r>
        <w:t xml:space="preserve">时，特别是当天然有机物（NOM）丰富且与活性炭竞争吸附位点时，其效果不佳</w:t>
      </w:r>
      <w:r>
        <w:t xml:space="preserve">(Gillogly et al., 1999; Wang et al., 2020)</w:t>
      </w:r>
      <w:r>
        <w:t xml:space="preserve">。此外，它还大幅增加了水处理厂的运营成本，并产生大量需处理的污泥</w:t>
      </w:r>
      <w:r>
        <w:t xml:space="preserve">(Huang et al., 2020; Li et al., 2019)</w:t>
      </w:r>
      <w:r>
        <w:t xml:space="preserve">。因此，寻找控制源水中产生MIB的蓝藻生长的选项非常重要。</w:t>
      </w:r>
    </w:p>
    <w:p>
      <w:pPr>
        <w:pStyle w:val="BodyText"/>
      </w:pPr>
      <w:r>
        <w:t xml:space="preserve">尽管MIB最初被确认为放线菌、一些真菌和共生细菌产生的挥发性次生代谢产物，但已确定细丝状蓝藻是饮用水水库中MIB的主要来源</w:t>
      </w:r>
      <w:r>
        <w:t xml:space="preserve">(Cao et al., 2023; Gerber, 1983; Jüttner and Watson, 2007)</w:t>
      </w:r>
      <w:r>
        <w:t xml:space="preserve">。根据@su2021ecological总结，包括Pseudanabaena</w:t>
      </w:r>
      <w:r>
        <w:t xml:space="preserve">(Su et al., 2021; Zhang et al., 2016)</w:t>
      </w:r>
      <w:r>
        <w:t xml:space="preserve">、Planktothrix</w:t>
      </w:r>
      <w:r>
        <w:t xml:space="preserve">(Su et al., 2015)</w:t>
      </w:r>
      <w:r>
        <w:t xml:space="preserve">、Phormidium</w:t>
      </w:r>
      <w:r>
        <w:t xml:space="preserve">(Izaguirre et al., 2007)</w:t>
      </w:r>
      <w:r>
        <w:t xml:space="preserve">、Oscillatoria</w:t>
      </w:r>
      <w:r>
        <w:t xml:space="preserve">(Van Der Ploeg et al., 1995)</w:t>
      </w:r>
      <w:r>
        <w:t xml:space="preserve">和Planktothricoides</w:t>
      </w:r>
      <w:r>
        <w:t xml:space="preserve">(Lu et al., 2022; Te et al., 2017)</w:t>
      </w:r>
      <w:r>
        <w:t xml:space="preserve">等20多种蓝藻属的菌株被报道为主要的MIB产生者。与常见的表面浮游生物属Microcystis（直径：3 ~ 9 μm）相比，大多数产生MIB的菌株是细丝状蓝藻（长度：1.3 ~ 12 μm，宽度：0.8 ~ 15 μm）</w:t>
      </w:r>
      <w:r>
        <w:t xml:space="preserve">(Xu et al., 2020)</w:t>
      </w:r>
      <w:r>
        <w:t xml:space="preserve">。较大的细胞平面表面积使它们能够在较低光照条件下操作，并吸收更多的辐射</w:t>
      </w:r>
      <w:r>
        <w:t xml:space="preserve">(Su et al., 2014)</w:t>
      </w:r>
      <w:r>
        <w:t xml:space="preserve">。此外，它们通常具有更多的辅助光合色素（如植物色素红蛋白），通过色调适应扩展它们对可见光谱的吸收能力</w:t>
      </w:r>
      <w:r>
        <w:t xml:space="preserve">(Su et al., 2023; Wiltbank and Kehoe, 2019)</w:t>
      </w:r>
      <w:r>
        <w:t xml:space="preserve">。这些特性使它们能够在光强度较低的亚表层/深层生长，而那里的绿光和营养物质更加丰富</w:t>
      </w:r>
      <w:r>
        <w:t xml:space="preserve">(Halstvedt et al., 2007; Su et al., 2019)</w:t>
      </w:r>
      <w:r>
        <w:t xml:space="preserve">。因此，它们生长速度通常比表面浮游蓝藻慢</w:t>
      </w:r>
      <w:r>
        <w:t xml:space="preserve">(Anunciação Gomes et al., 2015; Araujo Torres et al., 2015)</w:t>
      </w:r>
      <w:r>
        <w:t xml:space="preserve">。</w:t>
      </w:r>
    </w:p>
    <w:p>
      <w:pPr>
        <w:pStyle w:val="BodyText"/>
      </w:pPr>
      <w:r>
        <w:t xml:space="preserve">已经制定了几种策略来预防或抑制蓝藻水华，包括减少营养负荷、化学藻类杀灭剂、物理去除、人工搅拌和生物操纵</w:t>
      </w:r>
      <w:r>
        <w:t xml:space="preserve">(Everall and Lees, 1997; Fastner et al., 2015; Greenfield et al., 2014; Huisman et al., 2018; Newcombe, 2012)</w:t>
      </w:r>
      <w:r>
        <w:t xml:space="preserve">。然而，尽管这些方法在至少一些湖泊中取得了成功，但效果并不保证。营养管理需要长期和盆地尺度的行动</w:t>
      </w:r>
      <w:r>
        <w:t xml:space="preserve">(Jeppesen et al., 2005)</w:t>
      </w:r>
      <w:r>
        <w:t xml:space="preserve">。由于潜在的不良生态影响，不希望在自然水体和饮用水水库中使用杀藻剂</w:t>
      </w:r>
      <w:r>
        <w:t xml:space="preserve">(Kibuye et al., 2021)</w:t>
      </w:r>
      <w:r>
        <w:t xml:space="preserve">。湖泊的人工搅拌是防止浮游蓝藻水华的有效水力方法，但成本很高</w:t>
      </w:r>
      <w:r>
        <w:t xml:space="preserve">(Visser et al., 1996; Visser et al., 2016)</w:t>
      </w:r>
      <w:r>
        <w:t xml:space="preserve">。特别地，MIB产生的蓝藻通常不是优势物种</w:t>
      </w:r>
      <w:r>
        <w:t xml:space="preserve">(Su et al., 2019)</w:t>
      </w:r>
      <w:r>
        <w:t xml:space="preserve">，导致这些传统方法的控制效率较低。</w:t>
      </w:r>
    </w:p>
    <w:p>
      <w:pPr>
        <w:pStyle w:val="BodyText"/>
      </w:pPr>
      <w:r>
        <w:t xml:space="preserve">源水中亚表层/深层蓝藻的控制通常不被讨论。在这种情况下的重要问题是：1）源水中不希望或受限制地应用化学物质；2）大多数MIB产生者在相对稀疏的亚表层层生长。考虑到它们独特的生态位特性，我们之前的研究在宫云水库和青草沙水库（均位于中国）开发并验证了基于水位和浑浊度调节的蓝藻控制策略</w:t>
      </w:r>
      <w:r>
        <w:t xml:space="preserve">(Jia et al., 2019; Su et al., 2022, 2017)</w:t>
      </w:r>
      <w:r>
        <w:t xml:space="preserve">。这些经过验证的应用表明，通过降低水下光强度至低于它们的最低需求，可以相对轻松地减少源水中MIB产生者的生长。然而，这些方法需要充足的水量和能力来调节水位或充足的高浑浊度的入流来调节水浑浊度，而这在许多水库中是不可用的。此外，在东太湖的现场监测结果和文化实验结果确认，水下植物可以通过营养物质耗尽、增加水透明度、遮阴和化感效应显著抑制MIB产生的蓝藻的生长，但更适用于浅湖</w:t>
      </w:r>
      <w:r>
        <w:t xml:space="preserve">(Yang et al., 2023)</w:t>
      </w:r>
      <w:r>
        <w:t xml:space="preserve">。</w:t>
      </w:r>
    </w:p>
    <w:p>
      <w:pPr>
        <w:pStyle w:val="BodyText"/>
      </w:pPr>
      <w:r>
        <w:t xml:space="preserve">在几个河流生态系统中，水力动力学已被验证为影响蓝藻水华的关键因素</w:t>
      </w:r>
      <w:r>
        <w:t xml:space="preserve">(Cha et al., 2017; Mitrovic et al., 2011; Mitrovic et al., 2003; Romo et al., 2012; Verspagen et al., 2006)</w:t>
      </w:r>
      <w:r>
        <w:t xml:space="preserve">。一个机械模型预测，用淡水冲洗将在当前冲洗速率足够增加时抑制Microcystis种群</w:t>
      </w:r>
      <w:r>
        <w:t xml:space="preserve">(Verspagen et al., 2006)</w:t>
      </w:r>
      <w:r>
        <w:t xml:space="preserve">。相反，快速流速可能通过干扰和稀释蓝藻种群和/或增加浑浊度，削弱水体中的热层结构，从而降低蓝藻暴露于光线下的时间，从而防止蓝藻水华的形成</w:t>
      </w:r>
      <w:r>
        <w:t xml:space="preserve">(Cha et al., 2017)</w:t>
      </w:r>
      <w:r>
        <w:t xml:space="preserve">。研究发现，300 ML d</w:t>
      </w:r>
      <w:r>
        <w:rPr>
          <w:vertAlign w:val="superscript"/>
        </w:rPr>
        <w:t xml:space="preserve">-1</w:t>
      </w:r>
      <w:r>
        <w:t xml:space="preserve">（0.03 m s</w:t>
      </w:r>
      <w:r>
        <w:rPr>
          <w:vertAlign w:val="superscript"/>
        </w:rPr>
        <w:t xml:space="preserve">-1</w:t>
      </w:r>
      <w:r>
        <w:t xml:space="preserve">）的排放足以抑制Dolichospermum circinalis（以前称为Anabaena circinalis）的发展，3000 ML d</w:t>
      </w:r>
      <w:r>
        <w:rPr>
          <w:vertAlign w:val="superscript"/>
        </w:rPr>
        <w:t xml:space="preserve">-1</w:t>
      </w:r>
      <w:r>
        <w:t xml:space="preserve">（0.3 m s</w:t>
      </w:r>
      <w:r>
        <w:rPr>
          <w:vertAlign w:val="superscript"/>
        </w:rPr>
        <w:t xml:space="preserve">-1</w:t>
      </w:r>
      <w:r>
        <w:t xml:space="preserve">）的排放可以有效去除已形成的水华</w:t>
      </w:r>
      <w:r>
        <w:t xml:space="preserve">(Mitrovic et al., 2011)</w:t>
      </w:r>
      <w:r>
        <w:t xml:space="preserve">。这些研究已经证明了基于河流系统中大规模流速增加的控制效果。除了地中海浅湖的一个案例研究</w:t>
      </w:r>
      <w:r>
        <w:t xml:space="preserve">(Romo et al., 2012)</w:t>
      </w:r>
      <w:r>
        <w:t xml:space="preserve">外，该研究将在旱季期间流速降低将导致Microcystis aeruginosa生物量和微囊藻毒素浓度增加1-2个数量级。尚未探讨水库和湖泊系统中水力调控的效果，这些系统的流速要低得多。此外，包括in-situ流速和物理稀释在内的两个水动力学方面可能影响蓝藻的生长和控制，然而，对应的因果机制尚未阐明。</w:t>
      </w:r>
    </w:p>
    <w:p>
      <w:pPr>
        <w:pStyle w:val="BodyText"/>
      </w:pPr>
      <w:r>
        <w:t xml:space="preserve">根据我们之前的研究</w:t>
      </w:r>
      <w:r>
        <w:t xml:space="preserve">(Jia et al., 2019; Lu et al., 2022)</w:t>
      </w:r>
      <w:r>
        <w:t xml:space="preserve">和其他出版物的资料，细丝状蓝藻的生长速率相对较低。由于MIB主要由细丝状蓝藻产生，我们在这里提出了一个假设：通过水力调控可以抑制水库系统中生长速率相对较低的MIB产生者，尽管它们的流速要低得多。在这项研究中，首先在中国珠海市的一个小型水库中调查了HRT对MIB产生的影响，并在使用MIB产生的Planktothricoides raciborskii（P. raciborskii）菌株的培养实验中进行了验证。随后，开发了一个机械模型来评估限制细丝状蓝藻属菌株生长的关键HRT值，并在珠海另一个小型水库中进行了验证，该水库为澳门供应水源。这项研究的结果可能为控制源水中的MIB问题提供了一种新的方法和原则，尤其适用于那些可以相对容易地调节HRT的小型水库。</w:t>
      </w:r>
    </w:p>
    <w:bookmarkEnd w:id="20"/>
    <w:bookmarkStart w:id="30" w:name="材料与方法"/>
    <w:p>
      <w:pPr>
        <w:pStyle w:val="Heading1"/>
      </w:pPr>
      <w:r>
        <w:t xml:space="preserve">材料与方法</w:t>
      </w:r>
    </w:p>
    <w:bookmarkStart w:id="21" w:name="研究地点"/>
    <w:p>
      <w:pPr>
        <w:pStyle w:val="Heading2"/>
      </w:pPr>
      <w:r>
        <w:t xml:space="preserve">研究地点</w:t>
      </w:r>
    </w:p>
    <w:p>
      <w:pPr>
        <w:pStyle w:val="FirstParagraph"/>
      </w:pPr>
      <w:r>
        <w:t xml:space="preserve">本研究选择了两个亚热带中营养水体的水库，南屏水库（NP，22°13’N，113°29’E）和竹仙洞水库（ZXD，22°12’N，113°31’E）。这两个水库位于中国珠海市（见图1），并由西江供水。NP水库主要用作珠海和澳门的饮用水资源，而ZXD水库主要用作澳门的饮用水资源。NP水库的平均水深为15.80 ± 12.77米（均值 ± 标准差），ZXD水库的平均水深为6.72 ± 2.29米。水温动态遵循相同的季节性模式，年均温度为24°C。两个水库的表层水和底层水之间存在3~5°C的温差，表现出较弱的分层现象（见图2）。两个水库的有效体积分别为5.74 × 10</w:t>
      </w:r>
      <w:r>
        <w:rPr>
          <w:vertAlign w:val="superscript"/>
        </w:rPr>
        <w:t xml:space="preserve">6</w:t>
      </w:r>
      <w:r>
        <w:t xml:space="preserve"> </w:t>
      </w:r>
      <w:r>
        <w:t xml:space="preserve">m</w:t>
      </w:r>
      <w:r>
        <w:rPr>
          <w:vertAlign w:val="superscript"/>
        </w:rPr>
        <w:t xml:space="preserve">3</w:t>
      </w:r>
      <w:r>
        <w:t xml:space="preserve">（NP）和2.61 × 10</w:t>
      </w:r>
      <w:r>
        <w:rPr>
          <w:vertAlign w:val="superscript"/>
        </w:rPr>
        <w:t xml:space="preserve">6</w:t>
      </w:r>
      <w:r>
        <w:t xml:space="preserve"> </w:t>
      </w:r>
      <w:r>
        <w:t xml:space="preserve">m</w:t>
      </w:r>
      <w:r>
        <w:rPr>
          <w:vertAlign w:val="superscript"/>
        </w:rPr>
        <w:t xml:space="preserve">3</w:t>
      </w:r>
      <w:r>
        <w:t xml:space="preserve">（ZXD），水力停留时间（HRT）分别在10 ~ 55天（NP）和5 ~ 23天（ZXD）之间。自2017年以来，NP水库每年春夏季都遭受MIB产生的发霉气味问题，而ZXD水库在2021年3月和4月发生了MIB事件。</w:t>
      </w:r>
    </w:p>
    <w:bookmarkEnd w:id="21"/>
    <w:bookmarkStart w:id="22" w:name="取样过程"/>
    <w:p>
      <w:pPr>
        <w:pStyle w:val="Heading2"/>
      </w:pPr>
      <w:r>
        <w:t xml:space="preserve">取样过程</w:t>
      </w:r>
    </w:p>
    <w:p>
      <w:pPr>
        <w:pStyle w:val="FirstParagraph"/>
      </w:pPr>
      <w:r>
        <w:t xml:space="preserve">由于热分层较弱，样品主要采集自表层（0.5米）。从2017年到2020年，对NP水库进行了长期例行监测。从NP03（靠近出口）的表层（0.5米深度）采集了水样（1升），并使用水银温度计</w:t>
      </w:r>
      <w:r>
        <w:rPr>
          <w:i/>
          <w:iCs/>
        </w:rPr>
        <w:t xml:space="preserve">原位</w:t>
      </w:r>
      <w:r>
        <w:t xml:space="preserve">测量了温度。此外，在NP水库的两次MIB事件（2017年7月和2018年4月）期间进行了两次强化调查，每天从6个取样点（NP01 ~ NP06）取表层水样（0.5升）进行气味分析。在ZXD水库的MIB事件期间（2021年3月 ~ 4月），进行了一次强化调查，并在6个取样点（ZXD01 ~ ZXD06）每天收集0.5升的表层水样进行浮游植物和气味的定量分析。此外，为了描述ZXD水库的整体水质特征，于2021年4月每周一次从每个点的三个层次（表层、半深度、底部）收集0.5 × 3升的水样用于营养物质和气味的定量分析。取样详细描述见表1。</w:t>
      </w:r>
    </w:p>
    <w:p>
      <w:pPr>
        <w:pStyle w:val="BodyText"/>
      </w:pPr>
      <w:r>
        <w:t xml:space="preserve">水样装入棕色窄口采样瓶中，并在四小时内送往实验室进行预处理。使用超声波声深仪（SM-5，日本）测量水深（深度），使用标准塞奇盘确定水透明度（SD）。使用多参数水质探测器（YSI6600，美国）测量水温（Temp.）、溶解氧（DO）、pH值、浊度（Turb.）、盐度、电导率（Cond.）、总溶解固体（TDS）、叶绿素</w:t>
      </w:r>
      <w:r>
        <w:rPr>
          <w:i/>
          <w:iCs/>
        </w:rPr>
        <w:t xml:space="preserve">a</w:t>
      </w:r>
      <w:r>
        <w:t xml:space="preserve">（Chl</w:t>
      </w:r>
      <w:r>
        <w:t xml:space="preserve"> </w:t>
      </w:r>
      <w:r>
        <w:rPr>
          <w:i/>
          <w:iCs/>
        </w:rPr>
        <w:t xml:space="preserve">a</w:t>
      </w:r>
      <w:r>
        <w:t xml:space="preserve">）、藻蓝蛋白（PC）和氧化还原电位（ORP）。所有参数在使用前根据仪器手册在实验室或野外进行了校准。</w:t>
      </w:r>
    </w:p>
    <w:bookmarkEnd w:id="22"/>
    <w:bookmarkStart w:id="23" w:name="实验室水质分析"/>
    <w:p>
      <w:pPr>
        <w:pStyle w:val="Heading2"/>
      </w:pPr>
      <w:r>
        <w:t xml:space="preserve">实验室水质分析</w:t>
      </w:r>
    </w:p>
    <w:p>
      <w:pPr>
        <w:pStyle w:val="FirstParagraph"/>
      </w:pPr>
      <w:r>
        <w:t xml:space="preserve">水样在暗处冷藏（4°C）保存，在48小时内分析了所有水质指标。通过添加NaClO（2 mg L</w:t>
      </w:r>
      <w:r>
        <w:rPr>
          <w:vertAlign w:val="superscript"/>
        </w:rPr>
        <w:t xml:space="preserve">-1</w:t>
      </w:r>
      <w:r>
        <w:t xml:space="preserve">）保存了原水和过滤后（0.7μm，Whatman，英国）水样进行气味（MIB和土臭素）分析，以抑制生物降解。使用原水样估计了总MIB（tMIB）和土臭素（tGSM）浓度，而使用过滤后的样品测量了溶解MIB（dMIB）和土臭素（dGSM）。使用固相微萃取（SPME）结合气相色谱质谱联用（GC-MS，Agilent 7890，美国）分析了气味化合物（MIB，土臭素）。总氮（TN）、总磷（TP）、铵态氮（NH</w:t>
      </w:r>
      <w:r>
        <w:rPr>
          <w:vertAlign w:val="subscript"/>
        </w:rPr>
        <w:t xml:space="preserve">4</w:t>
      </w:r>
      <w:r>
        <w:t xml:space="preserve">-N）和硝酸盐（NO</w:t>
      </w:r>
      <w:r>
        <w:rPr>
          <w:vertAlign w:val="subscript"/>
        </w:rPr>
        <w:t xml:space="preserve">3</w:t>
      </w:r>
      <w:r>
        <w:t xml:space="preserve">-N）等总营养物质的分析按照国家标准方法进行（中国环境保护部2007年，2009年，2012年，2013年）。</w:t>
      </w:r>
    </w:p>
    <w:bookmarkEnd w:id="23"/>
    <w:bookmarkStart w:id="25" w:name="浮游植物定量"/>
    <w:p>
      <w:pPr>
        <w:pStyle w:val="Heading2"/>
      </w:pPr>
      <w:r>
        <w:t xml:space="preserve">浮游植物定量</w:t>
      </w:r>
    </w:p>
    <w:p>
      <w:pPr>
        <w:pStyle w:val="FirstParagraph"/>
      </w:pPr>
      <w:r>
        <w:t xml:space="preserve">用5%碘酊保存原ZXD水库亚样（100毫升），静置72小时。然后取出顶部90毫升溶液以得到10倍浓度的溶液。使用显微镜（Olympus，BX51，日本）在明场下使用计数工具（CCT V1.4，中国，</w:t>
      </w:r>
      <w:hyperlink r:id="rId24">
        <w:r>
          <w:rPr>
            <w:rStyle w:val="Hyperlink"/>
          </w:rPr>
          <w:t xml:space="preserve">https://drwater.rcees.ac.cn</w:t>
        </w:r>
      </w:hyperlink>
      <w:r>
        <w:t xml:space="preserve">）对浮游植物进行计数。特定的定量方法与我们之前的报告一致。从NP水库的长期例行监测样品中，使用原水测量了叶绿素</w:t>
      </w:r>
      <w:r>
        <w:rPr>
          <w:i/>
          <w:iCs/>
        </w:rPr>
        <w:t xml:space="preserve">a</w:t>
      </w:r>
      <w:r>
        <w:t xml:space="preserve">浓度。</w:t>
      </w:r>
    </w:p>
    <w:bookmarkEnd w:id="25"/>
    <w:bookmarkStart w:id="26" w:name="不同hrt条件下planktothricoides-raciborskii的生长"/>
    <w:p>
      <w:pPr>
        <w:pStyle w:val="Heading2"/>
      </w:pPr>
      <w:r>
        <w:t xml:space="preserve">不同HRT条件下</w:t>
      </w:r>
      <w:r>
        <w:rPr>
          <w:i/>
          <w:iCs/>
        </w:rPr>
        <w:t xml:space="preserve">Planktothricoides raciborskii</w:t>
      </w:r>
      <w:r>
        <w:t xml:space="preserve">的生长</w:t>
      </w:r>
    </w:p>
    <w:p>
      <w:pPr>
        <w:pStyle w:val="FirstParagraph"/>
      </w:pPr>
      <w:r>
        <w:rPr>
          <w:i/>
          <w:iCs/>
        </w:rPr>
        <w:t xml:space="preserve">Planktothricoides raciborskii</w:t>
      </w:r>
      <w:r>
        <w:t xml:space="preserve">（</w:t>
      </w:r>
      <w:r>
        <w:rPr>
          <w:i/>
          <w:iCs/>
        </w:rPr>
        <w:t xml:space="preserve">P. raciborskii</w:t>
      </w:r>
      <w:r>
        <w:t xml:space="preserve">），珠海水库中MIB产生最丰富的蓝藻属（见图3），在我们之前的研究中从珠海的FH水库中分离出，并在本研究中用于培养实验。首先在BG11培养基中培养纯净的</w:t>
      </w:r>
      <w:r>
        <w:rPr>
          <w:i/>
          <w:iCs/>
        </w:rPr>
        <w:t xml:space="preserve">P. raciborskii</w:t>
      </w:r>
      <w:r>
        <w:t xml:space="preserve">菌株直至对数生长期（30°C，54μmol m</w:t>
      </w:r>
      <w:r>
        <w:rPr>
          <w:vertAlign w:val="superscript"/>
        </w:rPr>
        <w:t xml:space="preserve">-2</w:t>
      </w:r>
      <w:r>
        <w:t xml:space="preserve"> </w:t>
      </w:r>
      <w:r>
        <w:t xml:space="preserve">s</w:t>
      </w:r>
      <w:r>
        <w:rPr>
          <w:vertAlign w:val="superscript"/>
        </w:rPr>
        <w:t xml:space="preserve">-1</w:t>
      </w:r>
      <w:r>
        <w:t xml:space="preserve">），然后使用1.2μm膜（Millipore，美国）过滤，用超纯水洗涤三次以备后续接种。实验分别在6个HRT水平（2、5、10、20、40、80天）进行，每个水平有三个重复，命名为RT02、RT05、RT10、RT020、RT40和RT80。使用从NP水库的原水经过过滤（0.7µm，Waterman，英国）和灭菌（121°C，30分钟）处理的培养基（TDN：860μg L</w:t>
      </w:r>
      <w:r>
        <w:rPr>
          <w:vertAlign w:val="superscript"/>
        </w:rPr>
        <w:t xml:space="preserve">-1</w:t>
      </w:r>
      <w:r>
        <w:t xml:space="preserve">，TDP：21μg L</w:t>
      </w:r>
      <w:r>
        <w:rPr>
          <w:vertAlign w:val="superscript"/>
        </w:rPr>
        <w:t xml:space="preserve">-1</w:t>
      </w:r>
      <w:r>
        <w:t xml:space="preserve">）。培养实验持续18天，在最适宜的温度和光强条件下进行（30°C，54μmol m</w:t>
      </w:r>
      <w:r>
        <w:rPr>
          <w:vertAlign w:val="superscript"/>
        </w:rPr>
        <w:t xml:space="preserve">-2</w:t>
      </w:r>
      <w:r>
        <w:t xml:space="preserve"> </w:t>
      </w:r>
      <w:r>
        <w:t xml:space="preserve">s</w:t>
      </w:r>
      <w:r>
        <w:rPr>
          <w:vertAlign w:val="superscript"/>
        </w:rPr>
        <w:t xml:space="preserve">-1</w:t>
      </w:r>
      <w:r>
        <w:t xml:space="preserve">），这与NP水库MIB事件期间0.9米深度的平均光强相近。由于培养样品的细胞密度相对较高，因此不需要富集以进行优化的计数。为了最小化取样对培养系统的影响，每两天只取20毫升培养样品进行细胞计数和气味分析。实验设计的更多细节见图4和表2。</w:t>
      </w:r>
    </w:p>
    <w:bookmarkEnd w:id="26"/>
    <w:bookmarkStart w:id="29" w:name="数据分析"/>
    <w:p>
      <w:pPr>
        <w:pStyle w:val="Heading2"/>
      </w:pPr>
      <w:r>
        <w:t xml:space="preserve">数据分析</w:t>
      </w:r>
    </w:p>
    <w:p>
      <w:pPr>
        <w:pStyle w:val="FirstParagraph"/>
      </w:pPr>
      <w:r>
        <w:t xml:space="preserve">通过以下方程计算了实际水库HRT（</w:t>
      </w:r>
      <m:oMath>
        <m:r>
          <m:t>τ</m:t>
        </m:r>
      </m:oMath>
      <w:r>
        <w:t xml:space="preserve">，</w:t>
      </w:r>
      <m:oMath>
        <m:r>
          <m:t>d</m:t>
        </m:r>
      </m:oMath>
      <w:r>
        <w:t xml:space="preserve">）和培养实验中</w:t>
      </w:r>
      <w:r>
        <w:rPr>
          <w:i/>
          <w:iCs/>
        </w:rPr>
        <w:t xml:space="preserve">P. raciborskii</w:t>
      </w:r>
      <w:r>
        <w:t xml:space="preserve">的特定生长率：</w:t>
      </w:r>
    </w:p>
    <w:p>
      <w:pPr>
        <w:pStyle w:val="BodyText"/>
      </w:pPr>
      <w:bookmarkStart w:id="27" w:name="eq-tau"/>
      <m:oMathPara>
        <m:oMathParaPr>
          <m:jc m:val="center"/>
        </m:oMathParaPr>
        <m:oMath>
          <m:r>
            <m:t>τ</m:t>
          </m:r>
          <m:r>
            <m:rPr>
              <m:sty m:val="p"/>
            </m:rPr>
            <m:t>=</m:t>
          </m:r>
          <m:f>
            <m:fPr>
              <m:type m:val="bar"/>
            </m:fPr>
            <m:num>
              <m:r>
                <m:t>V</m:t>
              </m:r>
            </m:num>
            <m:den>
              <m:nary>
                <m:naryPr>
                  <m:chr m:val="∑"/>
                  <m:limLoc m:val="undOvr"/>
                  <m:subHide m:val="on"/>
                  <m:supHide m:val="on"/>
                </m:naryPr>
                <m:sub>
                  <m:r>
                    <m:t>​</m:t>
                  </m:r>
                </m:sub>
                <m:sup>
                  <m:r>
                    <m:t>​</m:t>
                  </m:r>
                </m:sup>
                <m:e>
                  <m:sSub>
                    <m:e>
                      <m:r>
                        <m:t>Q</m:t>
                      </m:r>
                    </m:e>
                    <m:sub>
                      <m:r>
                        <m:t>i</m:t>
                      </m:r>
                    </m:sub>
                  </m:sSub>
                </m:e>
              </m:nary>
            </m:den>
          </m:f>
          <m:r>
            <m:t>  </m:t>
          </m:r>
          <m:d>
            <m:dPr>
              <m:begChr m:val="("/>
              <m:endChr m:val=")"/>
              <m:sepChr m:val=""/>
              <m:grow/>
            </m:dPr>
            <m:e>
              <m:r>
                <m:t>1</m:t>
              </m:r>
            </m:e>
          </m:d>
        </m:oMath>
      </m:oMathPara>
      <w:bookmarkEnd w:id="27"/>
    </w:p>
    <w:p>
      <w:pPr>
        <w:pStyle w:val="FirstParagraph"/>
      </w:pPr>
      <w:bookmarkStart w:id="28" w:name="eq-mu"/>
      <m:oMathPara>
        <m:oMathParaPr>
          <m:jc m:val="center"/>
        </m:oMathParaPr>
        <m:oMath>
          <m:r>
            <m:t>μ</m:t>
          </m:r>
          <m:r>
            <m:rPr>
              <m:sty m:val="p"/>
            </m:rPr>
            <m:t>=</m:t>
          </m:r>
          <m:f>
            <m:fPr>
              <m:type m:val="bar"/>
            </m:fPr>
            <m:num>
              <m:r>
                <m:rPr>
                  <m:sty m:val="p"/>
                </m:rPr>
                <m:t>ln</m:t>
              </m:r>
              <m:sSub>
                <m:e>
                  <m:r>
                    <m:t>y</m:t>
                  </m:r>
                </m:e>
                <m:sub>
                  <m:sSub>
                    <m:e>
                      <m:r>
                        <m:t>t</m:t>
                      </m:r>
                    </m:e>
                    <m:sub>
                      <m:r>
                        <m:t>2</m:t>
                      </m:r>
                    </m:sub>
                  </m:sSub>
                </m:sub>
              </m:sSub>
              <m:r>
                <m:rPr>
                  <m:sty m:val="p"/>
                </m:rPr>
                <m:t>−</m:t>
              </m:r>
              <m:r>
                <m:rPr>
                  <m:sty m:val="p"/>
                </m:rPr>
                <m:t>ln</m:t>
              </m:r>
              <m:sSub>
                <m:e>
                  <m:r>
                    <m:t>y</m:t>
                  </m:r>
                </m:e>
                <m:sub>
                  <m:sSub>
                    <m:e>
                      <m:r>
                        <m:t>t</m:t>
                      </m:r>
                    </m:e>
                    <m:sub>
                      <m:r>
                        <m:t>1</m:t>
                      </m:r>
                    </m:sub>
                  </m:sSub>
                </m:sub>
              </m:sSub>
            </m:num>
            <m:den>
              <m:sSub>
                <m:e>
                  <m:r>
                    <m:t>t</m:t>
                  </m:r>
                </m:e>
                <m:sub>
                  <m:r>
                    <m:t>2</m:t>
                  </m:r>
                </m:sub>
              </m:sSub>
              <m:r>
                <m:rPr>
                  <m:sty m:val="p"/>
                </m:rPr>
                <m:t>−</m:t>
              </m:r>
              <m:sSub>
                <m:e>
                  <m:r>
                    <m:t>t</m:t>
                  </m:r>
                </m:e>
                <m:sub>
                  <m:r>
                    <m:t>1</m:t>
                  </m:r>
                </m:sub>
              </m:sSub>
            </m:den>
          </m:f>
          <m:r>
            <m:t>  </m:t>
          </m:r>
          <m:d>
            <m:dPr>
              <m:begChr m:val="("/>
              <m:endChr m:val=")"/>
              <m:sepChr m:val=""/>
              <m:grow/>
            </m:dPr>
            <m:e>
              <m:r>
                <m:t>2</m:t>
              </m:r>
            </m:e>
          </m:d>
        </m:oMath>
      </m:oMathPara>
      <w:bookmarkEnd w:id="28"/>
    </w:p>
    <w:p>
      <w:pPr>
        <w:pStyle w:val="FirstParagraph"/>
      </w:pPr>
      <w:r>
        <w:t xml:space="preserve">其中</w:t>
      </w:r>
      <m:oMath>
        <m:r>
          <m:t>V</m:t>
        </m:r>
      </m:oMath>
      <w:r>
        <w:t xml:space="preserve">是实际水库的容积，</w:t>
      </w:r>
      <m:oMath>
        <m:sSub>
          <m:e>
            <m:r>
              <m:t>Q</m:t>
            </m:r>
          </m:e>
          <m:sub>
            <m:r>
              <m:t>i</m:t>
            </m:r>
          </m:sub>
        </m:sSub>
      </m:oMath>
      <w:r>
        <w:t xml:space="preserve">是流入量。</w:t>
      </w:r>
      <m:oMath>
        <m:sSub>
          <m:e>
            <m:r>
              <m:t>y</m:t>
            </m:r>
          </m:e>
          <m:sub>
            <m:sSub>
              <m:e>
                <m:r>
                  <m:t>t</m:t>
                </m:r>
              </m:e>
              <m:sub>
                <m:r>
                  <m:t>2</m:t>
                </m:r>
              </m:sub>
            </m:sSub>
          </m:sub>
        </m:sSub>
      </m:oMath>
      <w:r>
        <w:t xml:space="preserve">和</w:t>
      </w:r>
      <m:oMath>
        <m:sSub>
          <m:e>
            <m:r>
              <m:t>y</m:t>
            </m:r>
          </m:e>
          <m:sub>
            <m:sSub>
              <m:e>
                <m:r>
                  <m:t>t</m:t>
                </m:r>
              </m:e>
              <m:sub>
                <m:r>
                  <m:t>1</m:t>
                </m:r>
              </m:sub>
            </m:sSub>
          </m:sub>
        </m:sSub>
      </m:oMath>
      <w:r>
        <w:t xml:space="preserve">是培养实验在对数生长期开始（</w:t>
      </w:r>
      <m:oMath>
        <m:sSub>
          <m:e>
            <m:r>
              <m:t>t</m:t>
            </m:r>
          </m:e>
          <m:sub>
            <m:r>
              <m:t>1</m:t>
            </m:r>
          </m:sub>
        </m:sSub>
      </m:oMath>
      <w:r>
        <w:t xml:space="preserve">）和结束（</w:t>
      </w:r>
      <m:oMath>
        <m:sSub>
          <m:e>
            <m:r>
              <m:t>t</m:t>
            </m:r>
          </m:e>
          <m:sub>
            <m:r>
              <m:t>2</m:t>
            </m:r>
          </m:sub>
        </m:sSub>
      </m:oMath>
      <w:r>
        <w:t xml:space="preserve">）时的</w:t>
      </w:r>
      <w:r>
        <w:rPr>
          <w:i/>
          <w:iCs/>
        </w:rPr>
        <w:t xml:space="preserve">P. raciborskii</w:t>
      </w:r>
      <w:r>
        <w:t xml:space="preserve">细胞密度。</w:t>
      </w:r>
    </w:p>
    <w:p>
      <w:pPr>
        <w:pStyle w:val="BodyText"/>
      </w:pPr>
      <w:r>
        <w:t xml:space="preserve">通过文献中的培养实验确定了14个典型蓝细菌属的生长率。共验证了1480个记录，并用于评估它们的生长率的统计分布。请注意，</w:t>
      </w:r>
      <w:r>
        <w:rPr>
          <w:i/>
          <w:iCs/>
        </w:rPr>
        <w:t xml:space="preserve">Pseudanabaena</w:t>
      </w:r>
      <w:r>
        <w:t xml:space="preserve">被确认为ZXD水库的主要MIB产生者，在进行现场应用时使用。基于文献（包括我们以前的研究）的记录，使用</w:t>
      </w:r>
      <w:r>
        <w:rPr>
          <w:i/>
          <w:iCs/>
        </w:rPr>
        <w:t xml:space="preserve">Pseudanabaena</w:t>
      </w:r>
      <w:r>
        <w:t xml:space="preserve">的中位生长率。</w:t>
      </w:r>
    </w:p>
    <w:p>
      <w:pPr>
        <w:pStyle w:val="BodyText"/>
      </w:pPr>
      <w:r>
        <w:t xml:space="preserve">本研究中的所有数据分析和可视化均基于R语言。数据统计、统计检验、线性建模和多元非线性回归使用</w:t>
      </w:r>
      <w:r>
        <w:rPr>
          <w:b/>
          <w:bCs/>
        </w:rPr>
        <w:t xml:space="preserve">base</w:t>
      </w:r>
      <w:r>
        <w:t xml:space="preserve">包完成。具体而言，进行了两种统计检验策略，包括适用于符合多元正态性和方差卡方的方差分析（ANOVA）以及适用于其余数据的wilcoxon检验。统计检验的描述见“补充资料”中的表格。相关系数的计算和显著性检验使用</w:t>
      </w:r>
      <w:r>
        <w:rPr>
          <w:b/>
          <w:bCs/>
        </w:rPr>
        <w:t xml:space="preserve">Hmisc</w:t>
      </w:r>
      <w:r>
        <w:t xml:space="preserve">包完成。图形绘制使用</w:t>
      </w:r>
      <w:r>
        <w:rPr>
          <w:b/>
          <w:bCs/>
        </w:rPr>
        <w:t xml:space="preserve">ggplot2</w:t>
      </w:r>
      <w:r>
        <w:t xml:space="preserve">包。数值以均值 ± 标准偏差表示。</w:t>
      </w:r>
    </w:p>
    <w:bookmarkEnd w:id="29"/>
    <w:bookmarkEnd w:id="30"/>
    <w:bookmarkStart w:id="57" w:name="结果"/>
    <w:p>
      <w:pPr>
        <w:pStyle w:val="Heading1"/>
      </w:pPr>
      <w:r>
        <w:t xml:space="preserve">结果</w:t>
      </w:r>
    </w:p>
    <w:bookmarkStart w:id="31" w:name="np水库中hrt和mib浓度的相关性"/>
    <w:p>
      <w:pPr>
        <w:pStyle w:val="Heading2"/>
      </w:pPr>
      <w:r>
        <w:t xml:space="preserve">NP水库中HRT和MIB浓度的相关性</w:t>
      </w:r>
    </w:p>
    <w:p>
      <w:pPr>
        <w:pStyle w:val="FirstParagraph"/>
      </w:pPr>
      <w:r>
        <w:t xml:space="preserve">在2017年至2020年期间，NP水库共观测到四次显著的MIB事件（峰值cMIB &gt; 30 ng L</w:t>
      </w:r>
      <w:r>
        <w:rPr>
          <w:vertAlign w:val="superscript"/>
        </w:rPr>
        <w:t xml:space="preserve">-1</w:t>
      </w:r>
      <w:r>
        <w:t xml:space="preserve">）（见图5）。高MIB浓度主要出现在春季（27.1 ± 25.9 ng L</w:t>
      </w:r>
      <w:r>
        <w:rPr>
          <w:vertAlign w:val="superscript"/>
        </w:rPr>
        <w:t xml:space="preserve">-1</w:t>
      </w:r>
      <w:r>
        <w:t xml:space="preserve">）和夏季（35.5 ± 36.1 ng L</w:t>
      </w:r>
      <w:r>
        <w:rPr>
          <w:vertAlign w:val="superscript"/>
        </w:rPr>
        <w:t xml:space="preserve">-1</w:t>
      </w:r>
      <w:r>
        <w:t xml:space="preserve">），特别是在4月（48.4 ± 35.5 ng L</w:t>
      </w:r>
      <w:r>
        <w:rPr>
          <w:vertAlign w:val="superscript"/>
        </w:rPr>
        <w:t xml:space="preserve">-1</w:t>
      </w:r>
      <w:r>
        <w:t xml:space="preserve">）和8月（51.3 ± 55.9 ng L</w:t>
      </w:r>
      <w:r>
        <w:rPr>
          <w:vertAlign w:val="superscript"/>
        </w:rPr>
        <w:t xml:space="preserve">-1</w:t>
      </w:r>
      <w:r>
        <w:t xml:space="preserve">），表明季节性显著（</w:t>
      </w:r>
      <w:r>
        <w:rPr>
          <w:i/>
          <w:iCs/>
        </w:rPr>
        <w:t xml:space="preserve">p</w:t>
      </w:r>
      <w:r>
        <w:t xml:space="preserve">-value = 0.0334）。土臭素浓度在整个研究期间始终低于OTC（10 ng L</w:t>
      </w:r>
      <w:r>
        <w:rPr>
          <w:vertAlign w:val="superscript"/>
        </w:rPr>
        <w:t xml:space="preserve">-1</w:t>
      </w:r>
      <w:r>
        <w:t xml:space="preserve">）。</w:t>
      </w:r>
    </w:p>
    <w:p>
      <w:pPr>
        <w:pStyle w:val="BodyText"/>
      </w:pPr>
      <w:r>
        <w:t xml:space="preserve">通过对NP水库的生态学特征进行调查，以探索MIB事件的潜在驱动因素，总结如下。NP水库的平均HRT为19.7 ± 8.6</w:t>
      </w:r>
      <w:r>
        <w:t xml:space="preserve"> </w:t>
      </w:r>
      <m:oMath>
        <m:r>
          <m:t>d</m:t>
        </m:r>
      </m:oMath>
      <w:r>
        <w:t xml:space="preserve">，春季（25.8 ± 13.8</w:t>
      </w:r>
      <w:r>
        <w:t xml:space="preserve"> </w:t>
      </w:r>
      <m:oMath>
        <m:r>
          <m:t>d</m:t>
        </m:r>
      </m:oMath>
      <w:r>
        <w:t xml:space="preserve">）较高，特别是3月（35.0 ± 14.0</w:t>
      </w:r>
      <w:r>
        <w:t xml:space="preserve"> </w:t>
      </w:r>
      <m:oMath>
        <m:r>
          <m:t>d</m:t>
        </m:r>
      </m:oMath>
      <w:r>
        <w:t xml:space="preserve">）和5月（22.5 ± 14.1</w:t>
      </w:r>
      <w:r>
        <w:t xml:space="preserve"> </w:t>
      </w:r>
      <m:oMath>
        <m:r>
          <m:t>d</m:t>
        </m:r>
      </m:oMath>
      <w:r>
        <w:t xml:space="preserve">），表现出显著的季节变化（</w:t>
      </w:r>
      <w:r>
        <w:rPr>
          <w:i/>
          <w:iCs/>
        </w:rPr>
        <w:t xml:space="preserve">p</w:t>
      </w:r>
      <w:r>
        <w:t xml:space="preserve">-value = 0.0092）。年均水温高，介于23.5 ± 3.3 °C之间，夏季（26.5 ± 1.3 °C）和冬季（20.8 ± 3.7 °C）之间的温差相对较低（5.7 °C）。总氮（TN）、总磷（TP）和铵态氮（NH</w:t>
      </w:r>
      <w:r>
        <w:rPr>
          <w:vertAlign w:val="subscript"/>
        </w:rPr>
        <w:t xml:space="preserve">4</w:t>
      </w:r>
      <w:r>
        <w:t xml:space="preserve">-N）等营养物质未表现出显著的季节变化（</w:t>
      </w:r>
      <w:r>
        <w:rPr>
          <w:i/>
          <w:iCs/>
        </w:rPr>
        <w:t xml:space="preserve">p</w:t>
      </w:r>
      <w:r>
        <w:t xml:space="preserve">-values &gt; 0.1），分别为1,502 ± 401 μg L</w:t>
      </w:r>
      <w:r>
        <w:rPr>
          <w:vertAlign w:val="superscript"/>
        </w:rPr>
        <w:t xml:space="preserve">-1</w:t>
      </w:r>
      <w:r>
        <w:t xml:space="preserve">、36 ± 30 μg L</w:t>
      </w:r>
      <w:r>
        <w:rPr>
          <w:vertAlign w:val="superscript"/>
        </w:rPr>
        <w:t xml:space="preserve">-1</w:t>
      </w:r>
      <w:r>
        <w:t xml:space="preserve">和152 ± 107 μg L</w:t>
      </w:r>
      <w:r>
        <w:rPr>
          <w:vertAlign w:val="superscript"/>
        </w:rPr>
        <w:t xml:space="preserve">-1</w:t>
      </w:r>
      <w:r>
        <w:t xml:space="preserve">。</w:t>
      </w:r>
    </w:p>
    <w:p>
      <w:pPr>
        <w:pStyle w:val="BodyText"/>
      </w:pPr>
      <w:r>
        <w:t xml:space="preserve">总有机碳（TOC）浓度在春季（1.65 ± 0.16 mg L</w:t>
      </w:r>
      <w:r>
        <w:rPr>
          <w:vertAlign w:val="superscript"/>
        </w:rPr>
        <w:t xml:space="preserve">-1</w:t>
      </w:r>
      <w:r>
        <w:t xml:space="preserve">）和夏季（1.76 ± 0.49 mg L</w:t>
      </w:r>
      <w:r>
        <w:rPr>
          <w:vertAlign w:val="superscript"/>
        </w:rPr>
        <w:t xml:space="preserve">-1</w:t>
      </w:r>
      <w:r>
        <w:t xml:space="preserve">）略高，表现出微弱的季节变化（</w:t>
      </w:r>
      <w:r>
        <w:rPr>
          <w:i/>
          <w:iCs/>
        </w:rPr>
        <w:t xml:space="preserve">p</w:t>
      </w:r>
      <w:r>
        <w:t xml:space="preserve">-value = 0.0565）。年均溶解氧（DO）为6.9 ± 1.4 mg L</w:t>
      </w:r>
      <w:r>
        <w:rPr>
          <w:vertAlign w:val="superscript"/>
        </w:rPr>
        <w:t xml:space="preserve">-1</w:t>
      </w:r>
      <w:r>
        <w:t xml:space="preserve">，没有季节差异（</w:t>
      </w:r>
      <w:r>
        <w:rPr>
          <w:i/>
          <w:iCs/>
        </w:rPr>
        <w:t xml:space="preserve">p</w:t>
      </w:r>
      <w:r>
        <w:t xml:space="preserve">-value = 0.4690）。浮游植物丰度在春季（39.7 ± 38.2 × 10</w:t>
      </w:r>
      <w:r>
        <w:rPr>
          <w:vertAlign w:val="superscript"/>
        </w:rPr>
        <w:t xml:space="preserve">6</w:t>
      </w:r>
      <w:r>
        <w:t xml:space="preserve"> </w:t>
      </w:r>
      <w:r>
        <w:t xml:space="preserve">cells L</w:t>
      </w:r>
      <w:r>
        <w:rPr>
          <w:vertAlign w:val="superscript"/>
        </w:rPr>
        <w:t xml:space="preserve">-1</w:t>
      </w:r>
      <w:r>
        <w:t xml:space="preserve">）和夏季（54.1 ± 48.8 × 10</w:t>
      </w:r>
      <w:r>
        <w:rPr>
          <w:vertAlign w:val="superscript"/>
        </w:rPr>
        <w:t xml:space="preserve">6</w:t>
      </w:r>
      <w:r>
        <w:t xml:space="preserve"> </w:t>
      </w:r>
      <w:r>
        <w:t xml:space="preserve">cells L</w:t>
      </w:r>
      <w:r>
        <w:rPr>
          <w:vertAlign w:val="superscript"/>
        </w:rPr>
        <w:t xml:space="preserve">-1</w:t>
      </w:r>
      <w:r>
        <w:t xml:space="preserve">）显著更高（</w:t>
      </w:r>
      <w:r>
        <w:rPr>
          <w:i/>
          <w:iCs/>
        </w:rPr>
        <w:t xml:space="preserve">p</w:t>
      </w:r>
      <w:r>
        <w:t xml:space="preserve">-value = 0.0084），导致pH值更高（</w:t>
      </w:r>
      <w:r>
        <w:rPr>
          <w:i/>
          <w:iCs/>
        </w:rPr>
        <w:t xml:space="preserve">p</w:t>
      </w:r>
      <w:r>
        <w:t xml:space="preserve">-value = 0.0023），分别为8.5 ± 0.4和8.6 ± 0.5。</w:t>
      </w:r>
    </w:p>
    <w:p>
      <w:pPr>
        <w:pStyle w:val="BodyText"/>
      </w:pPr>
      <w:r>
        <w:t xml:space="preserve">对MIB浓度与生态学参数进行了相关分析，结果显示只有浮游植物丰度呈现显著正相关关系（</w:t>
      </w:r>
      <w:r>
        <w:rPr>
          <w:i/>
          <w:iCs/>
        </w:rPr>
        <w:t xml:space="preserve">r</w:t>
      </w:r>
      <w:r>
        <w:t xml:space="preserve"> </w:t>
      </w:r>
      <w:r>
        <w:t xml:space="preserve">= 0.40，</w:t>
      </w:r>
      <w:r>
        <w:rPr>
          <w:i/>
          <w:iCs/>
        </w:rPr>
        <w:t xml:space="preserve">p</w:t>
      </w:r>
      <w:r>
        <w:t xml:space="preserve">-value = 0.0115，见图6）。浮游植物丰度最高时（（63.6 ± 49.7）× 10</w:t>
      </w:r>
      <w:r>
        <w:rPr>
          <w:vertAlign w:val="superscript"/>
        </w:rPr>
        <w:t xml:space="preserve">6</w:t>
      </w:r>
      <w:r>
        <w:t xml:space="preserve"> </w:t>
      </w:r>
      <w:r>
        <w:t xml:space="preserve">cells L</w:t>
      </w:r>
      <w:r>
        <w:rPr>
          <w:vertAlign w:val="superscript"/>
        </w:rPr>
        <w:t xml:space="preserve">-1</w:t>
      </w:r>
      <w:r>
        <w:t xml:space="preserve">）的7月，MIB浓度为38.6 ± 28.0 ng L</w:t>
      </w:r>
      <w:r>
        <w:rPr>
          <w:vertAlign w:val="superscript"/>
        </w:rPr>
        <w:t xml:space="preserve">-1</w:t>
      </w:r>
      <w:r>
        <w:t xml:space="preserve">。此外，根据</w:t>
      </w:r>
      <w:r>
        <w:rPr>
          <w:i/>
          <w:iCs/>
        </w:rPr>
        <w:t xml:space="preserve">mic</w:t>
      </w:r>
      <w:r>
        <w:t xml:space="preserve">基因序列，</w:t>
      </w:r>
      <w:r>
        <w:rPr>
          <w:i/>
          <w:iCs/>
        </w:rPr>
        <w:t xml:space="preserve">Pseudanabaena</w:t>
      </w:r>
      <w:r>
        <w:t xml:space="preserve">和</w:t>
      </w:r>
      <w:r>
        <w:rPr>
          <w:i/>
          <w:iCs/>
        </w:rPr>
        <w:t xml:space="preserve">Planktothricoides</w:t>
      </w:r>
      <w:r>
        <w:t xml:space="preserve">被确认为主要的MIB产生蓝藻（见表3）。</w:t>
      </w:r>
    </w:p>
    <w:p>
      <w:pPr>
        <w:pStyle w:val="BodyText"/>
      </w:pPr>
      <w:r>
        <w:t xml:space="preserve">值得注意的是，MIB浓度和HRT呈现相似的变化趋势，但MIB的变化滞后于HRT约1 ~ 4周。MIB事件概率与HRT之间存在单峰分布，显示当HRT超过17 ~ 20</w:t>
      </w:r>
      <w:r>
        <w:t xml:space="preserve"> </w:t>
      </w:r>
      <m:oMath>
        <m:r>
          <m:t>d</m:t>
        </m:r>
      </m:oMath>
      <w:r>
        <w:t xml:space="preserve">时，事件概率约为40%（见图7）。在MIB事件期间和其他时期之间未观察到其他主要生态学参数（包括温度、营养物质（TN、TP、NH</w:t>
      </w:r>
      <w:r>
        <w:rPr>
          <w:vertAlign w:val="subscript"/>
        </w:rPr>
        <w:t xml:space="preserve">4</w:t>
      </w:r>
      <w:r>
        <w:t xml:space="preserve">-N、NO</w:t>
      </w:r>
      <w:r>
        <w:rPr>
          <w:vertAlign w:val="subscript"/>
        </w:rPr>
        <w:t xml:space="preserve">3</w:t>
      </w:r>
      <w:r>
        <w:t xml:space="preserve">-N）、pH等）的显著差异（见表4）。</w:t>
      </w:r>
    </w:p>
    <w:bookmarkEnd w:id="31"/>
    <w:bookmarkStart w:id="37" w:name="hrt对p.-raciborskii生长和mib产量的影响"/>
    <w:p>
      <w:pPr>
        <w:pStyle w:val="Heading2"/>
      </w:pPr>
      <w:r>
        <w:t xml:space="preserve">HRT对</w:t>
      </w:r>
      <w:r>
        <w:rPr>
          <w:i/>
          <w:iCs/>
        </w:rPr>
        <w:t xml:space="preserve">P. raciborskii</w:t>
      </w:r>
      <w:r>
        <w:t xml:space="preserve">生长和MIB产量的影响</w:t>
      </w:r>
    </w:p>
    <w:p>
      <w:pPr>
        <w:pStyle w:val="FirstParagraph"/>
      </w:pPr>
      <w:r>
        <w:t xml:space="preserve">培养实验表明，HRT对MIB产生的</w:t>
      </w:r>
      <w:r>
        <w:rPr>
          <w:i/>
          <w:iCs/>
        </w:rPr>
        <w:t xml:space="preserve">P. raciborskii</w:t>
      </w:r>
      <w:r>
        <w:t xml:space="preserve">细胞生长具有显著影响（</w:t>
      </w:r>
      <w:r>
        <w:rPr>
          <w:i/>
          <w:iCs/>
        </w:rPr>
        <w:t xml:space="preserve">p</w:t>
      </w:r>
      <w:r>
        <w:t xml:space="preserve">-value &lt; 0.001，</w:t>
      </w:r>
      <w:hyperlink w:anchor="fig-plankgrowthcurve">
        <w:r>
          <w:rPr>
            <w:rStyle w:val="Hyperlink"/>
          </w:rPr>
          <w:t xml:space="preserve">Fig. 1</w:t>
        </w:r>
      </w:hyperlink>
      <w:r>
        <w:t xml:space="preserve">A）。在低HRT处理（RT02、RT05）中，生长受到抑制，生物量浓度显著低于其他HRT处理（</w:t>
      </w:r>
      <w:r>
        <w:rPr>
          <w:i/>
          <w:iCs/>
        </w:rPr>
        <w:t xml:space="preserve">p</w:t>
      </w:r>
      <w:r>
        <w:t xml:space="preserve">-value &lt; 0.0001）。中等（RT10和RT20）和高HRT处理（RT40和RT80）之间也观察到生长差异（</w:t>
      </w:r>
      <w:r>
        <w:rPr>
          <w:i/>
          <w:iCs/>
        </w:rPr>
        <w:t xml:space="preserve">p</w:t>
      </w:r>
      <w:r>
        <w:t xml:space="preserve">-value &lt; 0.0001）。在RT02和RT05中，细胞增加持续了2</w:t>
      </w:r>
      <w:r>
        <w:t xml:space="preserve"> </w:t>
      </w:r>
      <m:oMath>
        <m:r>
          <m:t>d</m:t>
        </m:r>
      </m:oMath>
      <w:r>
        <w:t xml:space="preserve">和4</w:t>
      </w:r>
      <w:r>
        <w:t xml:space="preserve"> </w:t>
      </w:r>
      <m:oMath>
        <m:r>
          <m:t>d</m:t>
        </m:r>
      </m:oMath>
      <w:r>
        <w:t xml:space="preserve">，分别在第3天（RT02）和第5天（RT05）获得最高值（（1.03 ± 0.49）×10</w:t>
      </w:r>
      <w:r>
        <w:rPr>
          <w:vertAlign w:val="superscript"/>
        </w:rPr>
        <w:t xml:space="preserve">7</w:t>
      </w:r>
      <w:r>
        <w:t xml:space="preserve"> </w:t>
      </w:r>
      <w:r>
        <w:t xml:space="preserve">cells L</w:t>
      </w:r>
      <w:r>
        <w:rPr>
          <w:vertAlign w:val="superscript"/>
        </w:rPr>
        <w:t xml:space="preserve">-1</w:t>
      </w:r>
      <w:r>
        <w:t xml:space="preserve">和（2.02 ± 0.29）×10</w:t>
      </w:r>
      <w:r>
        <w:rPr>
          <w:vertAlign w:val="superscript"/>
        </w:rPr>
        <w:t xml:space="preserve">7</w:t>
      </w:r>
      <w:r>
        <w:t xml:space="preserve"> </w:t>
      </w:r>
      <w:r>
        <w:t xml:space="preserve">cells L</w:t>
      </w:r>
      <w:r>
        <w:rPr>
          <w:vertAlign w:val="superscript"/>
        </w:rPr>
        <w:t xml:space="preserve">-1</w:t>
      </w:r>
      <w:r>
        <w:t xml:space="preserve">），然后迅速下降至非常低的丰度（RT02：0 cells L</w:t>
      </w:r>
      <w:r>
        <w:rPr>
          <w:vertAlign w:val="superscript"/>
        </w:rPr>
        <w:t xml:space="preserve">-1</w:t>
      </w:r>
      <w:r>
        <w:t xml:space="preserve">；RT05：（7.05 ± 2.44）×10</w:t>
      </w:r>
      <w:r>
        <w:rPr>
          <w:vertAlign w:val="superscript"/>
        </w:rPr>
        <w:t xml:space="preserve">5</w:t>
      </w:r>
      <w:r>
        <w:t xml:space="preserve"> </w:t>
      </w:r>
      <w:r>
        <w:t xml:space="preserve">cells L</w:t>
      </w:r>
      <w:r>
        <w:rPr>
          <w:vertAlign w:val="superscript"/>
        </w:rPr>
        <w:t xml:space="preserve">-1</w:t>
      </w:r>
      <w:r>
        <w:t xml:space="preserve">）。</w:t>
      </w:r>
    </w:p>
    <w:p>
      <w:pPr>
        <w:pStyle w:val="BodyText"/>
      </w:pPr>
      <w:r>
        <w:t xml:space="preserve">MIB浓度表现出与</w:t>
      </w:r>
      <w:r>
        <w:rPr>
          <w:i/>
          <w:iCs/>
        </w:rPr>
        <w:t xml:space="preserve">P. raciborskii</w:t>
      </w:r>
      <w:r>
        <w:t xml:space="preserve">丰度类似的模式（</w:t>
      </w:r>
      <w:hyperlink w:anchor="fig-plankgrowthcurve">
        <w:r>
          <w:rPr>
            <w:rStyle w:val="Hyperlink"/>
          </w:rPr>
          <w:t xml:space="preserve">Fig. 1</w:t>
        </w:r>
      </w:hyperlink>
      <w:r>
        <w:t xml:space="preserve">B、</w:t>
      </w:r>
      <w:hyperlink w:anchor="fig-plankgrowthcurve">
        <w:r>
          <w:rPr>
            <w:rStyle w:val="Hyperlink"/>
          </w:rPr>
          <w:t xml:space="preserve">1</w:t>
        </w:r>
      </w:hyperlink>
      <w:r>
        <w:t xml:space="preserve">C）。初始MIB浓度为3,501.0 ± 295.4 ng L</w:t>
      </w:r>
      <w:r>
        <w:rPr>
          <w:vertAlign w:val="superscript"/>
        </w:rPr>
        <w:t xml:space="preserve">-1</w:t>
      </w:r>
      <w:r>
        <w:t xml:space="preserve">。RT02和RT05中MIB浓度呈明显下降趋势，可能与蒸发和生物降解有关</w:t>
      </w:r>
      <w:r>
        <w:t xml:space="preserve">(Li et al., 2012)</w:t>
      </w:r>
      <w:r>
        <w:t xml:space="preserve">。对于RT10和RT20，细胞生长期间（第5天至第10天）MIB的产生可以补偿MIB的损失，MIB浓度开始在细胞衰退期间下降。仅在RT40和RT80处理中观察到MIB浓度的净增加。RT40和RT80处理中的MIB浓度从3,784.7 ± 472.2和3,691.7 ± 343.9 ng L</w:t>
      </w:r>
      <w:r>
        <w:rPr>
          <w:vertAlign w:val="superscript"/>
        </w:rPr>
        <w:t xml:space="preserve">-1</w:t>
      </w:r>
      <w:r>
        <w:t xml:space="preserve">增加到6,838.5 ± 783.7和15,852.7 ± 2,644.4 ng L</w:t>
      </w:r>
      <w:r>
        <w:rPr>
          <w:vertAlign w:val="superscript"/>
        </w:rPr>
        <w:t xml:space="preserve">-1</w:t>
      </w:r>
      <w:r>
        <w:t xml:space="preserve">（第19天）。总体而言，最大的MIB增加比率与HRT呈显著正相关（</w:t>
      </w:r>
      <w:r>
        <w:rPr>
          <w:i/>
          <w:iCs/>
        </w:rPr>
        <w:t xml:space="preserve">r</w:t>
      </w:r>
      <w:r>
        <w:t xml:space="preserve"> </w:t>
      </w:r>
      <w:r>
        <w:t xml:space="preserve">= 0.76，</w:t>
      </w:r>
      <w:r>
        <w:rPr>
          <w:i/>
          <w:iCs/>
        </w:rPr>
        <w:t xml:space="preserve">p</w:t>
      </w:r>
      <w:r>
        <w:t xml:space="preserve">-value = 0.0001）。</w:t>
      </w:r>
    </w:p>
    <w:p>
      <w:pPr>
        <w:pStyle w:val="BodyText"/>
      </w:pPr>
      <w:r>
        <w:t xml:space="preserve">根据</w:t>
      </w:r>
      <w:hyperlink w:anchor="eq-nu">
        <w:r>
          <w:rPr>
            <w:rStyle w:val="Hyperlink"/>
          </w:rPr>
          <w:t xml:space="preserve">Eq. 3</w:t>
        </w:r>
      </w:hyperlink>
      <w:r>
        <w:t xml:space="preserve">评估了生长速率（ρ）和最大细胞密度（N</w:t>
      </w:r>
      <w:r>
        <w:rPr>
          <w:vertAlign w:val="superscript"/>
        </w:rPr>
        <w:t xml:space="preserve">*</w:t>
      </w:r>
      <w:r>
        <w:t xml:space="preserve">），如</w:t>
      </w:r>
      <w:hyperlink w:anchor="tbl-mibculture">
        <w:r>
          <w:rPr>
            <w:rStyle w:val="Hyperlink"/>
          </w:rPr>
          <w:t xml:space="preserve">Table 1</w:t>
        </w:r>
      </w:hyperlink>
      <w:r>
        <w:t xml:space="preserve">所总结。在RT02中获得负生长率（-0.26 ± 0.14</w:t>
      </w:r>
      <w:r>
        <w:t xml:space="preserve"> </w:t>
      </w:r>
      <m:oMath>
        <m:sSup>
          <m:e>
            <m:r>
              <m:t>d</m:t>
            </m:r>
          </m:e>
          <m:sup>
            <m:r>
              <m:rPr>
                <m:sty m:val="p"/>
              </m:rPr>
              <m:t>−</m:t>
            </m:r>
            <m:r>
              <m:t>1</m:t>
            </m:r>
          </m:sup>
        </m:sSup>
      </m:oMath>
      <w:r>
        <w:t xml:space="preserve">），在RT05中获得接近零的生长率（0.02 ± 0.05</w:t>
      </w:r>
      <w:r>
        <w:t xml:space="preserve"> </w:t>
      </w:r>
      <m:oMath>
        <m:sSup>
          <m:e>
            <m:r>
              <m:t>d</m:t>
            </m:r>
          </m:e>
          <m:sup>
            <m:r>
              <m:rPr>
                <m:sty m:val="p"/>
              </m:rPr>
              <m:t>−</m:t>
            </m:r>
            <m:r>
              <m:t>1</m:t>
            </m:r>
          </m:sup>
        </m:sSup>
      </m:oMath>
      <w:r>
        <w:t xml:space="preserve">）。对于中等/高HRT处理，获得了0.19 ± 0.02</w:t>
      </w:r>
      <w:r>
        <w:t xml:space="preserve"> </w:t>
      </w:r>
      <m:oMath>
        <m:sSup>
          <m:e>
            <m:r>
              <m:t>d</m:t>
            </m:r>
          </m:e>
          <m:sup>
            <m:r>
              <m:rPr>
                <m:sty m:val="p"/>
              </m:rPr>
              <m:t>−</m:t>
            </m:r>
            <m:r>
              <m:t>1</m:t>
            </m:r>
          </m:sup>
        </m:sSup>
      </m:oMath>
      <w:r>
        <w:t xml:space="preserve">至0.33 ± 0.11</w:t>
      </w:r>
      <w:r>
        <w:t xml:space="preserve"> </w:t>
      </w:r>
      <m:oMath>
        <m:sSup>
          <m:e>
            <m:r>
              <m:t>d</m:t>
            </m:r>
          </m:e>
          <m:sup>
            <m:r>
              <m:rPr>
                <m:sty m:val="p"/>
              </m:rPr>
              <m:t>−</m:t>
            </m:r>
            <m:r>
              <m:t>1</m:t>
            </m:r>
          </m:sup>
        </m:sSup>
      </m:oMath>
      <w:r>
        <w:t xml:space="preserve">的正生长率，与HRT呈正相关（</w:t>
      </w:r>
      <w:r>
        <w:rPr>
          <w:i/>
          <w:iCs/>
        </w:rPr>
        <w:t xml:space="preserve">r</w:t>
      </w:r>
      <w:r>
        <w:t xml:space="preserve"> </w:t>
      </w:r>
      <w:r>
        <w:t xml:space="preserve">= 0.65，</w:t>
      </w:r>
      <w:r>
        <w:rPr>
          <w:i/>
          <w:iCs/>
        </w:rPr>
        <w:t xml:space="preserve">p</w:t>
      </w:r>
      <w:r>
        <w:t xml:space="preserve">-value = 0.0021）。因此，最大细胞密度和MIB浓度也与HRT显著相关（</w:t>
      </w:r>
      <w:r>
        <w:rPr>
          <w:i/>
          <w:iCs/>
        </w:rPr>
        <w:t xml:space="preserve">r</w:t>
      </w:r>
      <w:r>
        <w:t xml:space="preserve"> </w:t>
      </w:r>
      <w:r>
        <w:t xml:space="preserve">= 0.91，</w:t>
      </w:r>
      <w:r>
        <w:rPr>
          <w:i/>
          <w:iCs/>
        </w:rPr>
        <w:t xml:space="preserve">p</w:t>
      </w:r>
      <w:r>
        <w:t xml:space="preserve">-value = 0.0107；</w:t>
      </w:r>
      <w:r>
        <w:rPr>
          <w:i/>
          <w:iCs/>
        </w:rPr>
        <w:t xml:space="preserve">r</w:t>
      </w:r>
      <w:r>
        <w:t xml:space="preserve"> </w:t>
      </w:r>
      <w:r>
        <w:t xml:space="preserve">= 0.97，</w:t>
      </w:r>
      <w:r>
        <w:rPr>
          <w:i/>
          <w:iCs/>
        </w:rPr>
        <w:t xml:space="preserve">p</w:t>
      </w:r>
      <w:r>
        <w:t xml:space="preserve">-value = 0.0011）。</w:t>
      </w:r>
    </w:p>
    <w:tbl>
      <w:tblPr>
        <w:tblStyle w:val="Table"/>
        <w:tblW w:type="pct" w:w="5000"/>
        <w:tblLayout w:type="fixed"/>
        <w:tblLook w:firstRow="0" w:lastRow="0" w:firstColumn="0" w:lastColumn="0" w:noHBand="0" w:noVBand="0" w:val="0000"/>
      </w:tblPr>
      <w:tblGrid>
        <w:gridCol w:w="7920"/>
      </w:tblGrid>
      <w:tr>
        <w:tc>
          <w:tcPr/>
          <w:bookmarkStart w:id="35" w:name="fig-plankgrowthcurve"/>
          <w:p>
            <w:pPr>
              <w:pStyle w:val="Compact"/>
              <w:jc w:val="center"/>
            </w:pPr>
            <w:r>
              <w:drawing>
                <wp:inline>
                  <wp:extent cx="4602480" cy="1427621"/>
                  <wp:effectExtent b="0" l="0" r="0" t="0"/>
                  <wp:docPr descr="" title="" id="33" name="Picture"/>
                  <a:graphic>
                    <a:graphicData uri="http://schemas.openxmlformats.org/drawingml/2006/picture">
                      <pic:pic>
                        <pic:nvPicPr>
                          <pic:cNvPr descr="./figures/plankgrowthcurve.png" id="34" name="Picture"/>
                          <pic:cNvPicPr>
                            <a:picLocks noChangeArrowheads="1" noChangeAspect="1"/>
                          </pic:cNvPicPr>
                        </pic:nvPicPr>
                        <pic:blipFill>
                          <a:blip r:embed="rId32"/>
                          <a:stretch>
                            <a:fillRect/>
                          </a:stretch>
                        </pic:blipFill>
                        <pic:spPr bwMode="auto">
                          <a:xfrm>
                            <a:off x="0" y="0"/>
                            <a:ext cx="4602480" cy="1427621"/>
                          </a:xfrm>
                          <a:prstGeom prst="rect">
                            <a:avLst/>
                          </a:prstGeom>
                          <a:noFill/>
                          <a:ln w="9525">
                            <a:noFill/>
                            <a:headEnd/>
                            <a:tailEnd/>
                          </a:ln>
                        </pic:spPr>
                      </pic:pic>
                    </a:graphicData>
                  </a:graphic>
                </wp:inline>
              </w:drawing>
            </w:r>
          </w:p>
          <w:p>
            <w:pPr>
              <w:jc w:val="center"/>
            </w:pPr>
            <w:pPr>
              <w:jc w:val="start"/>
              <w:spacing w:before="200"/>
              <w:pStyle w:val="ImageCaption"/>
            </w:pPr>
            <w:r>
              <w:t xml:space="preserve">Fig. 1</w:t>
            </w:r>
            <w:r>
              <w:t xml:space="preserve"> </w:t>
            </w:r>
            <w:r>
              <w:rPr>
                <w:i/>
                <w:iCs/>
              </w:rPr>
              <w:t xml:space="preserve">P. raciborskii</w:t>
            </w:r>
            <w:r>
              <w:t xml:space="preserve"> </w:t>
            </w:r>
            <w:r>
              <w:t xml:space="preserve">在不同水力停留时间（HRT）下的细胞生长和MIB产量（A：细胞密度；B：MIB浓度；C：细胞密度与MIB浓度的相关性）（培养条件：温度：30°C，光照强度：54 μmol m</w:t>
            </w:r>
            <w:r>
              <w:rPr>
                <w:vertAlign w:val="superscript"/>
              </w:rPr>
              <w:t xml:space="preserve">-2</w:t>
            </w:r>
            <w:r>
              <w:t xml:space="preserve"> </w:t>
            </w:r>
            <w:r>
              <w:t xml:space="preserve">s</w:t>
            </w:r>
            <w:r>
              <w:rPr>
                <w:vertAlign w:val="superscript"/>
              </w:rPr>
              <w:t xml:space="preserve">-1</w:t>
            </w:r>
            <w:r>
              <w:t xml:space="preserve">；数值以平均值 ± 标准偏差表示）。</w:t>
            </w:r>
          </w:p>
          <w:bookmarkEnd w:id="35"/>
        </w:tc>
      </w:tr>
    </w:tbl>
    <w:tbl>
      <w:tblPr>
        <w:tblStyle w:val="Table"/>
        <w:tblW w:type="pct" w:w="5000"/>
        <w:tblLayout w:type="fixed"/>
        <w:tblLook w:firstRow="0" w:lastRow="0" w:firstColumn="0" w:lastColumn="0" w:noHBand="0" w:noVBand="0" w:val="0000"/>
      </w:tblPr>
      <w:tblGrid>
        <w:gridCol w:w="7920"/>
      </w:tblGrid>
      <w:tr>
        <w:tc>
          <w:tcPr/>
          <w:bookmarkStart w:id="36" w:name="tbl-mibculture"/>
          <w:p>
            <w:pPr>
              <w:jc w:val="center"/>
            </w:pPr>
            <w:pPr>
              <w:jc w:val="start"/>
              <w:spacing w:before="200"/>
              <w:pStyle w:val="ImageCaption"/>
            </w:pPr>
            <w:r>
              <w:t xml:space="preserve">Table 1</w:t>
            </w:r>
            <w:r>
              <w:t xml:space="preserve"> </w:t>
            </w:r>
            <w:r>
              <w:t xml:space="preserve">“</w:t>
            </w:r>
            <w:r>
              <w:rPr>
                <w:i/>
                <w:iCs/>
              </w:rPr>
              <w:t xml:space="preserve">P. raciborskii</w:t>
            </w:r>
            <w:r>
              <w:t xml:space="preserve">培养实验结果摘要（</w:t>
            </w:r>
            <m:oMath>
              <m:r>
                <m:t>τ</m:t>
              </m:r>
            </m:oMath>
            <w:r>
              <w:t xml:space="preserve">（d）：细胞数量增加的持续时间；</w:t>
            </w:r>
            <m:oMath>
              <m:sSup>
                <m:e>
                  <m:r>
                    <m:t>N</m:t>
                  </m:r>
                </m:e>
                <m:sup>
                  <m:r>
                    <m:rPr>
                      <m:sty m:val="p"/>
                    </m:rPr>
                    <m:t>*</m:t>
                  </m:r>
                </m:sup>
              </m:sSup>
            </m:oMath>
            <w:r>
              <w:t xml:space="preserve">：最大细胞密度；</w:t>
            </w:r>
            <m:oMath>
              <m:sSubSup>
                <m:e>
                  <m:r>
                    <m:t>c</m:t>
                  </m:r>
                </m:e>
                <m:sub>
                  <m:r>
                    <m:t>M</m:t>
                  </m:r>
                  <m:r>
                    <m:t>I</m:t>
                  </m:r>
                  <m:r>
                    <m:t>B</m:t>
                  </m:r>
                </m:sub>
                <m:sup>
                  <m:r>
                    <m:rPr>
                      <m:sty m:val="p"/>
                    </m:rPr>
                    <m:t>*</m:t>
                  </m:r>
                </m:sup>
              </m:sSubSup>
            </m:oMath>
            <w:r>
              <w:t xml:space="preserve">：最大MIB浓度；</w:t>
            </w:r>
            <m:oMath>
              <m:sSub>
                <m:e>
                  <m:r>
                    <m:t>k</m:t>
                  </m:r>
                </m:e>
                <m:sub>
                  <m:r>
                    <m:t>M</m:t>
                  </m:r>
                  <m:r>
                    <m:t>I</m:t>
                  </m:r>
                  <m:r>
                    <m:t>B</m:t>
                  </m:r>
                </m:sub>
              </m:sSub>
            </m:oMath>
            <w:r>
              <w:t xml:space="preserve">：不同HRT条件下MIB的衰减速率，所有值均以均值 ± 标准偏差表示。）</w:t>
            </w:r>
            <w:r>
              <w:t xml:space="preserve">”</w:t>
            </w:r>
          </w:p>
          <w:tbl>
            <w:tblPr>
              <w:tblStyle w:val="Table"/>
              <w:tblW w:type="pct" w:w="4900"/>
              <w:tblLayout w:type="fixed"/>
              <w:tblLook w:firstRow="1" w:lastRow="0" w:firstColumn="0" w:lastColumn="0" w:noHBand="0" w:noVBand="0" w:val="0020"/>
            </w:tblPr>
            <w:tblGrid>
              <w:gridCol w:w="792"/>
              <w:gridCol w:w="475"/>
              <w:gridCol w:w="1188"/>
              <w:gridCol w:w="1742"/>
              <w:gridCol w:w="1663"/>
              <w:gridCol w:w="1900"/>
            </w:tblGrid>
            <w:tr>
              <w:trPr>
                <w:tblHeader w:val="on"/>
              </w:trPr>
              <w:tc>
                <w:tcPr/>
                <w:p>
                  <w:pPr>
                    <w:pStyle w:val="Compact"/>
                    <w:jc w:val="left"/>
                    <w:jc w:val="center"/>
                  </w:pPr>
                  <w:r>
                    <w:t xml:space="preserve">HRT (d)</w:t>
                  </w:r>
                </w:p>
              </w:tc>
              <w:tc>
                <w:tcPr/>
                <w:p>
                  <w:pPr>
                    <w:pStyle w:val="Compact"/>
                    <w:jc w:val="left"/>
                    <w:jc w:val="center"/>
                  </w:pPr>
                  <m:oMath>
                    <m:r>
                      <m:t>τ</m:t>
                    </m:r>
                  </m:oMath>
                  <w:r>
                    <w:t xml:space="preserve"> </w:t>
                  </w:r>
                  <w:r>
                    <w:t xml:space="preserve">(d)</w:t>
                  </w:r>
                </w:p>
              </w:tc>
              <w:tc>
                <w:tcPr/>
                <w:p>
                  <w:pPr>
                    <w:pStyle w:val="Compact"/>
                    <w:jc w:val="left"/>
                    <w:jc w:val="center"/>
                  </w:pPr>
                  <m:oMath>
                    <m:r>
                      <m:t>ρ</m:t>
                    </m:r>
                  </m:oMath>
                  <w:r>
                    <w:t xml:space="preserve"> </w:t>
                  </w:r>
                  <w:r>
                    <w:t xml:space="preserve">(d</w:t>
                  </w:r>
                  <w:r>
                    <w:rPr>
                      <w:vertAlign w:val="superscript"/>
                    </w:rPr>
                    <w:t xml:space="preserve">-1</w:t>
                  </w:r>
                  <w:r>
                    <w:t xml:space="preserve">)</w:t>
                  </w:r>
                </w:p>
              </w:tc>
              <w:tc>
                <w:tcPr/>
                <w:p>
                  <w:pPr>
                    <w:pStyle w:val="Compact"/>
                    <w:jc w:val="left"/>
                    <w:jc w:val="center"/>
                  </w:pPr>
                  <m:oMath>
                    <m:sSup>
                      <m:e>
                        <m:r>
                          <m:t>N</m:t>
                        </m:r>
                      </m:e>
                      <m:sup>
                        <m:r>
                          <m:rPr>
                            <m:sty m:val="p"/>
                          </m:rPr>
                          <m:t>*</m:t>
                        </m:r>
                      </m:sup>
                    </m:sSup>
                  </m:oMath>
                  <w:r>
                    <w:t xml:space="preserve"> </w:t>
                  </w:r>
                  <w:r>
                    <w:t xml:space="preserve">(×10</w:t>
                  </w:r>
                  <w:r>
                    <w:rPr>
                      <w:vertAlign w:val="superscript"/>
                    </w:rPr>
                    <w:t xml:space="preserve">7</w:t>
                  </w:r>
                  <w:r>
                    <w:t xml:space="preserve"> </w:t>
                  </w:r>
                  <w:r>
                    <w:t xml:space="preserve">cell L</w:t>
                  </w:r>
                  <w:r>
                    <w:rPr>
                      <w:vertAlign w:val="superscript"/>
                    </w:rPr>
                    <w:t xml:space="preserve">-1</w:t>
                  </w:r>
                  <w:r>
                    <w:t xml:space="preserve">)</w:t>
                  </w:r>
                </w:p>
              </w:tc>
              <w:tc>
                <w:tcPr/>
                <w:p>
                  <w:pPr>
                    <w:pStyle w:val="Compact"/>
                    <w:jc w:val="left"/>
                    <w:jc w:val="center"/>
                  </w:pPr>
                  <m:oMath>
                    <m:sSubSup>
                      <m:e>
                        <m:r>
                          <m:t>c</m:t>
                        </m:r>
                      </m:e>
                      <m:sub>
                        <m:r>
                          <m:t>M</m:t>
                        </m:r>
                        <m:r>
                          <m:t>I</m:t>
                        </m:r>
                        <m:r>
                          <m:t>B</m:t>
                        </m:r>
                      </m:sub>
                      <m:sup>
                        <m:r>
                          <m:rPr>
                            <m:sty m:val="p"/>
                          </m:rPr>
                          <m:t>*</m:t>
                        </m:r>
                      </m:sup>
                    </m:sSubSup>
                  </m:oMath>
                  <w:r>
                    <w:t xml:space="preserve"> </w:t>
                  </w:r>
                  <w:r>
                    <w:t xml:space="preserve">(ng L</w:t>
                  </w:r>
                  <w:r>
                    <w:rPr>
                      <w:vertAlign w:val="superscript"/>
                    </w:rPr>
                    <w:t xml:space="preserve">-1</w:t>
                  </w:r>
                  <w:r>
                    <w:t xml:space="preserve">)</w:t>
                  </w:r>
                </w:p>
              </w:tc>
              <w:tc>
                <w:tcPr/>
                <w:p>
                  <w:pPr>
                    <w:pStyle w:val="Compact"/>
                    <w:jc w:val="left"/>
                    <w:jc w:val="center"/>
                  </w:pPr>
                  <m:oMath>
                    <m:sSubSup>
                      <m:e>
                        <m:r>
                          <m:t>k</m:t>
                        </m:r>
                      </m:e>
                      <m:sub>
                        <m:r>
                          <m:t>M</m:t>
                        </m:r>
                        <m:r>
                          <m:t>I</m:t>
                        </m:r>
                        <m:r>
                          <m:t>B</m:t>
                        </m:r>
                      </m:sub>
                      <m:sup>
                        <m:r>
                          <m:rPr>
                            <m:sty m:val="p"/>
                          </m:rPr>
                          <m:t>*</m:t>
                        </m:r>
                      </m:sup>
                    </m:sSubSup>
                  </m:oMath>
                  <w:r>
                    <w:t xml:space="preserve"> </w:t>
                  </w:r>
                  <w:r>
                    <w:t xml:space="preserve">(ng L</w:t>
                  </w:r>
                  <w:r>
                    <w:rPr>
                      <w:vertAlign w:val="superscript"/>
                    </w:rPr>
                    <w:t xml:space="preserve">-1</w:t>
                  </w:r>
                  <w:r>
                    <w:t xml:space="preserve"> </w:t>
                  </w:r>
                  <w:r>
                    <w:t xml:space="preserve">d</w:t>
                  </w:r>
                  <w:r>
                    <w:rPr>
                      <w:vertAlign w:val="superscript"/>
                    </w:rPr>
                    <w:t xml:space="preserve">-1</w:t>
                  </w:r>
                  <w:r>
                    <w:t xml:space="preserve">)</w:t>
                  </w:r>
                </w:p>
              </w:tc>
            </w:tr>
            <w:tr>
              <w:tc>
                <w:tcPr/>
                <w:p>
                  <w:pPr>
                    <w:pStyle w:val="Compact"/>
                    <w:jc w:val="left"/>
                    <w:jc w:val="center"/>
                  </w:pPr>
                  <w:r>
                    <w:t xml:space="preserve">2</w:t>
                  </w:r>
                </w:p>
              </w:tc>
              <w:tc>
                <w:tcPr/>
                <w:p>
                  <w:pPr>
                    <w:pStyle w:val="Compact"/>
                    <w:jc w:val="left"/>
                    <w:jc w:val="center"/>
                  </w:pPr>
                  <w:r>
                    <w:t xml:space="preserve">3</w:t>
                  </w:r>
                </w:p>
              </w:tc>
              <w:tc>
                <w:tcPr/>
                <w:p>
                  <w:pPr>
                    <w:pStyle w:val="Compact"/>
                    <w:jc w:val="left"/>
                    <w:jc w:val="center"/>
                  </w:pPr>
                  <w:r>
                    <w:t xml:space="preserve">-0.26 ± 0.14</w:t>
                  </w:r>
                </w:p>
              </w:tc>
              <w:tc>
                <w:tcPr/>
                <w:p>
                  <w:pPr>
                    <w:pStyle w:val="Compact"/>
                    <w:jc w:val="left"/>
                    <w:jc w:val="center"/>
                  </w:pPr>
                  <w:r>
                    <w:t xml:space="preserve">1.03 ± 0.48</w:t>
                  </w:r>
                </w:p>
              </w:tc>
              <w:tc>
                <w:tcPr/>
                <w:p>
                  <w:pPr>
                    <w:pStyle w:val="Compact"/>
                    <w:jc w:val="left"/>
                    <w:jc w:val="center"/>
                  </w:pPr>
                  <w:r>
                    <w:t xml:space="preserve">1,888.7 ± 96.3</w:t>
                  </w:r>
                </w:p>
              </w:tc>
              <w:tc>
                <w:tcPr/>
                <w:p>
                  <w:pPr>
                    <w:pStyle w:val="Compact"/>
                    <w:jc w:val="left"/>
                    <w:jc w:val="center"/>
                  </w:pPr>
                  <w:r>
                    <w:t xml:space="preserve">341.1 ± 19.9</w:t>
                  </w:r>
                </w:p>
              </w:tc>
            </w:tr>
            <w:tr>
              <w:tc>
                <w:tcPr/>
                <w:p>
                  <w:pPr>
                    <w:pStyle w:val="Compact"/>
                    <w:jc w:val="left"/>
                    <w:jc w:val="center"/>
                  </w:pPr>
                  <w:r>
                    <w:t xml:space="preserve">5</w:t>
                  </w:r>
                </w:p>
              </w:tc>
              <w:tc>
                <w:tcPr/>
                <w:p>
                  <w:pPr>
                    <w:pStyle w:val="Compact"/>
                    <w:jc w:val="left"/>
                    <w:jc w:val="center"/>
                  </w:pPr>
                  <w:r>
                    <w:t xml:space="preserve">5</w:t>
                  </w:r>
                </w:p>
              </w:tc>
              <w:tc>
                <w:tcPr/>
                <w:p>
                  <w:pPr>
                    <w:pStyle w:val="Compact"/>
                    <w:jc w:val="left"/>
                    <w:jc w:val="center"/>
                  </w:pPr>
                  <w:r>
                    <w:t xml:space="preserve">0.02 ± 0.05</w:t>
                  </w:r>
                </w:p>
              </w:tc>
              <w:tc>
                <w:tcPr/>
                <w:p>
                  <w:pPr>
                    <w:pStyle w:val="Compact"/>
                    <w:jc w:val="left"/>
                    <w:jc w:val="center"/>
                  </w:pPr>
                  <w:r>
                    <w:t xml:space="preserve">2.02 ± 0.29</w:t>
                  </w:r>
                </w:p>
              </w:tc>
              <w:tc>
                <w:tcPr/>
                <w:p>
                  <w:pPr>
                    <w:pStyle w:val="Compact"/>
                    <w:jc w:val="left"/>
                    <w:jc w:val="center"/>
                  </w:pPr>
                  <w:r>
                    <w:t xml:space="preserve">3,172.1 ± 197.8</w:t>
                  </w:r>
                </w:p>
              </w:tc>
              <w:tc>
                <w:tcPr/>
                <w:p>
                  <w:pPr>
                    <w:pStyle w:val="Compact"/>
                    <w:jc w:val="left"/>
                    <w:jc w:val="center"/>
                  </w:pPr>
                  <w:r>
                    <w:t xml:space="preserve">179.4 ± 7.4</w:t>
                  </w:r>
                </w:p>
              </w:tc>
            </w:tr>
            <w:tr>
              <w:tc>
                <w:tcPr/>
                <w:p>
                  <w:pPr>
                    <w:pStyle w:val="Compact"/>
                    <w:jc w:val="left"/>
                    <w:jc w:val="center"/>
                  </w:pPr>
                  <w:r>
                    <w:t xml:space="preserve">10</w:t>
                  </w:r>
                </w:p>
              </w:tc>
              <w:tc>
                <w:tcPr/>
                <w:p>
                  <w:pPr>
                    <w:pStyle w:val="Compact"/>
                    <w:jc w:val="left"/>
                    <w:jc w:val="center"/>
                  </w:pPr>
                  <w:r>
                    <w:t xml:space="preserve">5</w:t>
                  </w:r>
                </w:p>
              </w:tc>
              <w:tc>
                <w:tcPr/>
                <w:p>
                  <w:pPr>
                    <w:pStyle w:val="Compact"/>
                    <w:jc w:val="left"/>
                    <w:jc w:val="center"/>
                  </w:pPr>
                  <w:r>
                    <w:t xml:space="preserve">0.19 ± 0.02</w:t>
                  </w:r>
                </w:p>
              </w:tc>
              <w:tc>
                <w:tcPr/>
                <w:p>
                  <w:pPr>
                    <w:pStyle w:val="Compact"/>
                    <w:jc w:val="left"/>
                    <w:jc w:val="center"/>
                  </w:pPr>
                  <w:r>
                    <w:t xml:space="preserve">3.41 ± 1.04</w:t>
                  </w:r>
                </w:p>
              </w:tc>
              <w:tc>
                <w:tcPr/>
                <w:p>
                  <w:pPr>
                    <w:pStyle w:val="Compact"/>
                    <w:jc w:val="left"/>
                    <w:jc w:val="center"/>
                  </w:pPr>
                  <w:r>
                    <w:t xml:space="preserve">3,347.8 ± 334.7</w:t>
                  </w:r>
                </w:p>
              </w:tc>
              <w:tc>
                <w:tcPr/>
                <w:p>
                  <w:pPr>
                    <w:pStyle w:val="Compact"/>
                    <w:jc w:val="left"/>
                    <w:jc w:val="center"/>
                  </w:pPr>
                  <w:r>
                    <w:t xml:space="preserve">98.6 ± 45.1</w:t>
                  </w:r>
                </w:p>
              </w:tc>
            </w:tr>
            <w:tr>
              <w:tc>
                <w:tcPr/>
                <w:p>
                  <w:pPr>
                    <w:pStyle w:val="Compact"/>
                    <w:jc w:val="left"/>
                    <w:jc w:val="center"/>
                  </w:pPr>
                  <w:r>
                    <w:t xml:space="preserve">20</w:t>
                  </w:r>
                </w:p>
              </w:tc>
              <w:tc>
                <w:tcPr/>
                <w:p>
                  <w:pPr>
                    <w:pStyle w:val="Compact"/>
                    <w:jc w:val="left"/>
                    <w:jc w:val="center"/>
                  </w:pPr>
                  <w:r>
                    <w:t xml:space="preserve">9</w:t>
                  </w:r>
                </w:p>
              </w:tc>
              <w:tc>
                <w:tcPr/>
                <w:p>
                  <w:pPr>
                    <w:pStyle w:val="Compact"/>
                    <w:jc w:val="left"/>
                    <w:jc w:val="center"/>
                  </w:pPr>
                  <w:r>
                    <w:t xml:space="preserve">0.13 ± 0.10</w:t>
                  </w:r>
                </w:p>
              </w:tc>
              <w:tc>
                <w:tcPr/>
                <w:p>
                  <w:pPr>
                    <w:pStyle w:val="Compact"/>
                    <w:jc w:val="left"/>
                    <w:jc w:val="center"/>
                  </w:pPr>
                  <w:r>
                    <w:t xml:space="preserve">3.33 ± 0.52</w:t>
                  </w:r>
                </w:p>
              </w:tc>
              <w:tc>
                <w:tcPr/>
                <w:p>
                  <w:pPr>
                    <w:pStyle w:val="Compact"/>
                    <w:jc w:val="left"/>
                    <w:jc w:val="center"/>
                  </w:pPr>
                  <w:r>
                    <w:t xml:space="preserve">3,936.9 ± 82.5</w:t>
                  </w:r>
                </w:p>
              </w:tc>
              <w:tc>
                <w:tcPr/>
                <w:p>
                  <w:pPr>
                    <w:pStyle w:val="Compact"/>
                    <w:jc w:val="left"/>
                    <w:jc w:val="center"/>
                  </w:pPr>
                  <w:r>
                    <w:t xml:space="preserve">92.3 ± 5.2</w:t>
                  </w:r>
                </w:p>
              </w:tc>
            </w:tr>
            <w:tr>
              <w:tc>
                <w:tcPr/>
                <w:p>
                  <w:pPr>
                    <w:pStyle w:val="Compact"/>
                    <w:jc w:val="left"/>
                    <w:jc w:val="center"/>
                  </w:pPr>
                  <w:r>
                    <w:t xml:space="preserve">40</w:t>
                  </w:r>
                </w:p>
              </w:tc>
              <w:tc>
                <w:tcPr/>
                <w:p>
                  <w:pPr>
                    <w:pStyle w:val="Compact"/>
                    <w:jc w:val="left"/>
                    <w:jc w:val="center"/>
                  </w:pPr>
                  <w:r>
                    <w:t xml:space="preserve">9</w:t>
                  </w:r>
                </w:p>
              </w:tc>
              <w:tc>
                <w:tcPr/>
                <w:p>
                  <w:pPr>
                    <w:pStyle w:val="Compact"/>
                    <w:jc w:val="left"/>
                    <w:jc w:val="center"/>
                  </w:pPr>
                  <w:r>
                    <w:t xml:space="preserve">0.20 ± 0.11</w:t>
                  </w:r>
                </w:p>
              </w:tc>
              <w:tc>
                <w:tcPr/>
                <w:p>
                  <w:pPr>
                    <w:pStyle w:val="Compact"/>
                    <w:jc w:val="left"/>
                    <w:jc w:val="center"/>
                  </w:pPr>
                  <w:r>
                    <w:t xml:space="preserve">4.31 ± 0.75</w:t>
                  </w:r>
                </w:p>
              </w:tc>
              <w:tc>
                <w:tcPr/>
                <w:p>
                  <w:pPr>
                    <w:pStyle w:val="Compact"/>
                    <w:jc w:val="left"/>
                    <w:jc w:val="center"/>
                  </w:pPr>
                  <w:r>
                    <w:t xml:space="preserve">6,838.5 ± 783.7</w:t>
                  </w:r>
                </w:p>
              </w:tc>
              <w:tc>
                <w:tcPr/>
                <w:p>
                  <w:pPr>
                    <w:pStyle w:val="Compact"/>
                    <w:jc w:val="left"/>
                    <w:jc w:val="center"/>
                  </w:pPr>
                  <w:r>
                    <w:t xml:space="preserve">-(178.4 ± 43.7)</w:t>
                  </w:r>
                </w:p>
              </w:tc>
            </w:tr>
            <w:tr>
              <w:tc>
                <w:tcPr/>
                <w:p>
                  <w:pPr>
                    <w:pStyle w:val="Compact"/>
                    <w:jc w:val="left"/>
                    <w:jc w:val="center"/>
                  </w:pPr>
                  <w:r>
                    <w:t xml:space="preserve">80</w:t>
                  </w:r>
                </w:p>
              </w:tc>
              <w:tc>
                <w:tcPr/>
                <w:p>
                  <w:pPr>
                    <w:pStyle w:val="Compact"/>
                    <w:jc w:val="left"/>
                    <w:jc w:val="center"/>
                  </w:pPr>
                  <w:r>
                    <w:t xml:space="preserve">13</w:t>
                  </w:r>
                </w:p>
              </w:tc>
              <w:tc>
                <w:tcPr/>
                <w:p>
                  <w:pPr>
                    <w:pStyle w:val="Compact"/>
                    <w:jc w:val="left"/>
                    <w:jc w:val="center"/>
                  </w:pPr>
                  <w:r>
                    <w:t xml:space="preserve">0.33 ± 0.11</w:t>
                  </w:r>
                </w:p>
              </w:tc>
              <w:tc>
                <w:tcPr/>
                <w:p>
                  <w:pPr>
                    <w:pStyle w:val="Compact"/>
                    <w:jc w:val="left"/>
                    <w:jc w:val="center"/>
                  </w:pPr>
                  <w:r>
                    <w:t xml:space="preserve">5.76 ± 0.73</w:t>
                  </w:r>
                </w:p>
              </w:tc>
              <w:tc>
                <w:tcPr/>
                <w:p>
                  <w:pPr>
                    <w:pStyle w:val="Compact"/>
                    <w:jc w:val="left"/>
                    <w:jc w:val="center"/>
                  </w:pPr>
                  <w:r>
                    <w:t xml:space="preserve">15,853 ± 2,644.4</w:t>
                  </w:r>
                </w:p>
              </w:tc>
              <w:tc>
                <w:tcPr/>
                <w:p>
                  <w:pPr>
                    <w:pStyle w:val="Compact"/>
                    <w:jc w:val="left"/>
                    <w:jc w:val="center"/>
                  </w:pPr>
                  <w:r>
                    <w:t xml:space="preserve">-(675.6 ± 129.6)</w:t>
                  </w:r>
                </w:p>
              </w:tc>
            </w:tr>
          </w:tbl>
          <w:bookmarkEnd w:id="36"/>
          <w:p/>
        </w:tc>
      </w:tr>
    </w:tbl>
    <w:p>
      <w:pPr>
        <w:pStyle w:val="BodyText"/>
      </w:pPr>
      <w:r>
        <w:t xml:space="preserve">MIB的衰减速率分别为92.3 ± 5.2 ng L</w:t>
      </w:r>
      <w:r>
        <w:rPr>
          <w:vertAlign w:val="superscript"/>
        </w:rPr>
        <w:t xml:space="preserve">-1</w:t>
      </w:r>
      <w:r>
        <w:t xml:space="preserve"> </w:t>
      </w:r>
      <w:r>
        <w:t xml:space="preserve">d</w:t>
      </w:r>
      <w:r>
        <w:rPr>
          <w:vertAlign w:val="superscript"/>
        </w:rPr>
        <w:t xml:space="preserve">-1</w:t>
      </w:r>
      <w:r>
        <w:t xml:space="preserve">、98.6 ± 45.1 ng L</w:t>
      </w:r>
      <w:r>
        <w:rPr>
          <w:vertAlign w:val="superscript"/>
        </w:rPr>
        <w:t xml:space="preserve">-1</w:t>
      </w:r>
      <w:r>
        <w:t xml:space="preserve"> </w:t>
      </w:r>
      <w:r>
        <w:t xml:space="preserve">d</w:t>
      </w:r>
      <w:r>
        <w:rPr>
          <w:vertAlign w:val="superscript"/>
        </w:rPr>
        <w:t xml:space="preserve">-1</w:t>
      </w:r>
      <w:r>
        <w:t xml:space="preserve">、179.4 ± 7.4 ng L</w:t>
      </w:r>
      <w:r>
        <w:rPr>
          <w:vertAlign w:val="superscript"/>
        </w:rPr>
        <w:t xml:space="preserve">-1</w:t>
      </w:r>
      <w:r>
        <w:t xml:space="preserve"> </w:t>
      </w:r>
      <w:r>
        <w:t xml:space="preserve">d</w:t>
      </w:r>
      <w:r>
        <w:rPr>
          <w:vertAlign w:val="superscript"/>
        </w:rPr>
        <w:t xml:space="preserve">-1</w:t>
      </w:r>
      <w:r>
        <w:t xml:space="preserve">和341.1 ± 19.9 ng L</w:t>
      </w:r>
      <w:r>
        <w:rPr>
          <w:vertAlign w:val="superscript"/>
        </w:rPr>
        <w:t xml:space="preserve">-1</w:t>
      </w:r>
      <w:r>
        <w:t xml:space="preserve"> </w:t>
      </w:r>
      <w:r>
        <w:t xml:space="preserve">d</w:t>
      </w:r>
      <w:r>
        <w:rPr>
          <w:vertAlign w:val="superscript"/>
        </w:rPr>
        <w:t xml:space="preserve">-1</w:t>
      </w:r>
      <w:r>
        <w:t xml:space="preserve">，对于RT20、RT10、RT05和RT02。在RT02中，MIB从初始浓度3,410.9 ± 198.6 ng L</w:t>
      </w:r>
      <w:r>
        <w:rPr>
          <w:vertAlign w:val="superscript"/>
        </w:rPr>
        <w:t xml:space="preserve">-1</w:t>
      </w:r>
      <w:r>
        <w:t xml:space="preserve">（第1天）降至0.5 ± 0.0 ng L</w:t>
      </w:r>
      <w:r>
        <w:rPr>
          <w:vertAlign w:val="superscript"/>
        </w:rPr>
        <w:t xml:space="preserve">-1</w:t>
      </w:r>
      <w:r>
        <w:t xml:space="preserve">（第11天）需要10</w:t>
      </w:r>
      <w:r>
        <w:t xml:space="preserve"> </w:t>
      </w:r>
      <m:oMath>
        <m:r>
          <m:t>d</m:t>
        </m:r>
      </m:oMath>
      <w:r>
        <w:t xml:space="preserve">；而在RT05中，从3,238.2 ± 132.9 ng L</w:t>
      </w:r>
      <w:r>
        <w:rPr>
          <w:vertAlign w:val="superscript"/>
        </w:rPr>
        <w:t xml:space="preserve">-1</w:t>
      </w:r>
      <w:r>
        <w:t xml:space="preserve">（第1天）降至9.3 ± 7.3 ng L</w:t>
      </w:r>
      <w:r>
        <w:rPr>
          <w:vertAlign w:val="superscript"/>
        </w:rPr>
        <w:t xml:space="preserve">-1</w:t>
      </w:r>
      <w:r>
        <w:t xml:space="preserve">（第19天）需要18</w:t>
      </w:r>
      <w:r>
        <w:t xml:space="preserve"> </w:t>
      </w:r>
      <m:oMath>
        <m:r>
          <m:t>d</m:t>
        </m:r>
      </m:oMath>
      <w:r>
        <w:t xml:space="preserve">。相比之下，MIB去除所需的时间对于RT10（35</w:t>
      </w:r>
      <w:r>
        <w:t xml:space="preserve"> </w:t>
      </w:r>
      <m:oMath>
        <m:r>
          <m:t>d</m:t>
        </m:r>
      </m:oMath>
      <w:r>
        <w:t xml:space="preserve">）和RT020（37</w:t>
      </w:r>
      <w:r>
        <w:t xml:space="preserve"> </w:t>
      </w:r>
      <m:oMath>
        <m:r>
          <m:t>d</m:t>
        </m:r>
      </m:oMath>
      <w:r>
        <w:t xml:space="preserve">）显著更长。</w:t>
      </w:r>
    </w:p>
    <w:bookmarkEnd w:id="37"/>
    <w:bookmarkStart w:id="47" w:name="hrt调控模型"/>
    <w:p>
      <w:pPr>
        <w:pStyle w:val="Heading2"/>
      </w:pPr>
      <w:r>
        <w:t xml:space="preserve">HRT调控模型</w:t>
      </w:r>
    </w:p>
    <w:p>
      <w:pPr>
        <w:pStyle w:val="FirstParagraph"/>
      </w:pPr>
      <w:r>
        <w:t xml:space="preserve">HRT调控的目标是将目标蓝藻的细胞增殖速率降低到小于0。在这里，我们提出了一个模型来描述观察到的细胞增殖速率（</w:t>
      </w:r>
      <m:oMath>
        <m:r>
          <m:t>ν</m:t>
        </m:r>
        <m:r>
          <m:rPr>
            <m:sty m:val="p"/>
          </m:rPr>
          <m:t>,</m:t>
        </m:r>
        <m:r>
          <m:t> </m:t>
        </m:r>
        <m:sSup>
          <m:e>
            <m:r>
              <m:t>d</m:t>
            </m:r>
          </m:e>
          <m:sup>
            <m:r>
              <m:rPr>
                <m:sty m:val="p"/>
              </m:rPr>
              <m:t>−</m:t>
            </m:r>
            <m:r>
              <m:t>1</m:t>
            </m:r>
          </m:sup>
        </m:sSup>
      </m:oMath>
      <w:r>
        <w:t xml:space="preserve">）与HRT（</w:t>
      </w:r>
      <m:oMath>
        <m:r>
          <m:t>τ</m:t>
        </m:r>
        <m:r>
          <m:rPr>
            <m:sty m:val="p"/>
          </m:rPr>
          <m:t>,</m:t>
        </m:r>
        <m:r>
          <m:t> </m:t>
        </m:r>
        <m:r>
          <m:t>d</m:t>
        </m:r>
      </m:oMath>
      <w:r>
        <w:t xml:space="preserve">）之间的相关性，如</w:t>
      </w:r>
      <w:hyperlink w:anchor="eq-nu">
        <w:r>
          <w:rPr>
            <w:rStyle w:val="Hyperlink"/>
          </w:rPr>
          <w:t xml:space="preserve">Eq. 3</w:t>
        </w:r>
      </w:hyperlink>
      <w:r>
        <w:t xml:space="preserve">所示。</w:t>
      </w:r>
    </w:p>
    <w:p>
      <w:pPr>
        <w:pStyle w:val="BodyText"/>
      </w:pPr>
      <w:bookmarkStart w:id="38" w:name="eq-nu"/>
      <m:oMathPara>
        <m:oMathParaPr>
          <m:jc m:val="center"/>
        </m:oMathParaPr>
        <m:oMath>
          <m:r>
            <m:t>ν</m:t>
          </m:r>
          <m:r>
            <m:rPr>
              <m:sty m:val="p"/>
            </m:rPr>
            <m:t>=</m:t>
          </m:r>
          <m:sSub>
            <m:e>
              <m:r>
                <m:t>μ</m:t>
              </m:r>
            </m:e>
            <m:sub>
              <m:r>
                <m:t>s</m:t>
              </m:r>
            </m:sub>
          </m:sSub>
          <m:r>
            <m:rPr>
              <m:sty m:val="p"/>
            </m:rPr>
            <m:t>−</m:t>
          </m:r>
          <m:f>
            <m:fPr>
              <m:type m:val="bar"/>
            </m:fPr>
            <m:num>
              <m:r>
                <m:t>k</m:t>
              </m:r>
            </m:num>
            <m:den>
              <m:r>
                <m:t>τ</m:t>
              </m:r>
            </m:den>
          </m:f>
          <m:r>
            <m:t>  </m:t>
          </m:r>
          <m:d>
            <m:dPr>
              <m:begChr m:val="("/>
              <m:endChr m:val=")"/>
              <m:sepChr m:val=""/>
              <m:grow/>
            </m:dPr>
            <m:e>
              <m:r>
                <m:t>3</m:t>
              </m:r>
            </m:e>
          </m:d>
        </m:oMath>
      </m:oMathPara>
      <w:bookmarkEnd w:id="38"/>
    </w:p>
    <w:p>
      <w:pPr>
        <w:pStyle w:val="FirstParagraph"/>
      </w:pPr>
      <w:r>
        <w:t xml:space="preserve">其中</w:t>
      </w:r>
      <m:oMath>
        <m:sSub>
          <m:e>
            <m:r>
              <m:t>μ</m:t>
            </m:r>
          </m:e>
          <m:sub>
            <m:r>
              <m:t>s</m:t>
            </m:r>
          </m:sub>
        </m:sSub>
      </m:oMath>
      <w:r>
        <w:t xml:space="preserve">（</w:t>
      </w:r>
      <m:oMath>
        <m:sSup>
          <m:e>
            <m:r>
              <m:t>d</m:t>
            </m:r>
          </m:e>
          <m:sup>
            <m:r>
              <m:rPr>
                <m:sty m:val="p"/>
              </m:rPr>
              <m:t>−</m:t>
            </m:r>
            <m:r>
              <m:t>1</m:t>
            </m:r>
          </m:sup>
        </m:sSup>
      </m:oMath>
      <w:r>
        <w:t xml:space="preserve">）和</w:t>
      </w:r>
      <m:oMath>
        <m:r>
          <m:t>k</m:t>
        </m:r>
      </m:oMath>
      <w:r>
        <w:t xml:space="preserve">是未确定的系数，定义为静态生长率和水力影响系数，分别。该模型表明观察到的细胞增殖速率（</w:t>
      </w:r>
      <m:oMath>
        <m:r>
          <m:t>ν</m:t>
        </m:r>
        <m:r>
          <m:rPr>
            <m:sty m:val="p"/>
          </m:rPr>
          <m:t>,</m:t>
        </m:r>
        <m:r>
          <m:t> </m:t>
        </m:r>
        <m:sSup>
          <m:e>
            <m:r>
              <m:t>d</m:t>
            </m:r>
          </m:e>
          <m:sup>
            <m:r>
              <m:rPr>
                <m:sty m:val="p"/>
              </m:rPr>
              <m:t>−</m:t>
            </m:r>
            <m:r>
              <m:t>1</m:t>
            </m:r>
          </m:sup>
        </m:sSup>
      </m:oMath>
      <w:r>
        <w:t xml:space="preserve">）等于静态生长率（</w:t>
      </w:r>
      <m:oMath>
        <m:sSub>
          <m:e>
            <m:r>
              <m:t>μ</m:t>
            </m:r>
          </m:e>
          <m:sub>
            <m:r>
              <m:t>s</m:t>
            </m:r>
          </m:sub>
        </m:sSub>
        <m:r>
          <m:rPr>
            <m:sty m:val="p"/>
          </m:rPr>
          <m:t>,</m:t>
        </m:r>
        <m:r>
          <m:t> </m:t>
        </m:r>
        <m:sSup>
          <m:e>
            <m:r>
              <m:t>d</m:t>
            </m:r>
          </m:e>
          <m:sup>
            <m:r>
              <m:rPr>
                <m:sty m:val="p"/>
              </m:rPr>
              <m:t>−</m:t>
            </m:r>
            <m:r>
              <m:t>1</m:t>
            </m:r>
          </m:sup>
        </m:sSup>
      </m:oMath>
      <w:r>
        <w:t xml:space="preserve">）减去水力效应引起的损失率（</w:t>
      </w:r>
      <m:oMath>
        <m:r>
          <m:t>k</m:t>
        </m:r>
        <m:r>
          <m:rPr>
            <m:sty m:val="p"/>
          </m:rPr>
          <m:t>/</m:t>
        </m:r>
        <m:r>
          <m:t>τ</m:t>
        </m:r>
      </m:oMath>
      <w:r>
        <w:t xml:space="preserve">）。通过提供</w:t>
      </w:r>
      <w:r>
        <w:rPr>
          <w:i/>
          <w:iCs/>
        </w:rPr>
        <w:t xml:space="preserve">P. raciborskii</w:t>
      </w:r>
      <w:r>
        <w:t xml:space="preserve">的培养实验结果，该模型确定为</w:t>
      </w:r>
      <m:oMath>
        <m:r>
          <m:t>ν</m:t>
        </m:r>
        <m:r>
          <m:rPr>
            <m:sty m:val="p"/>
          </m:rPr>
          <m:t>=</m:t>
        </m:r>
        <m:d>
          <m:dPr>
            <m:begChr m:val="("/>
            <m:endChr m:val=")"/>
            <m:sepChr m:val=""/>
            <m:grow/>
          </m:dPr>
          <m:e>
            <m:r>
              <m:t>0.259</m:t>
            </m:r>
            <m:r>
              <m:rPr>
                <m:sty m:val="p"/>
              </m:rPr>
              <m:t>±</m:t>
            </m:r>
            <m:r>
              <m:t>0.0316</m:t>
            </m:r>
          </m:e>
        </m:d>
        <m:r>
          <m:rPr>
            <m:sty m:val="p"/>
          </m:rPr>
          <m:t>−</m:t>
        </m:r>
        <m:d>
          <m:dPr>
            <m:begChr m:val="("/>
            <m:endChr m:val=")"/>
            <m:sepChr m:val=""/>
            <m:grow/>
          </m:dPr>
          <m:e>
            <m:r>
              <m:t>1.05</m:t>
            </m:r>
            <m:r>
              <m:rPr>
                <m:sty m:val="p"/>
              </m:rPr>
              <m:t>±</m:t>
            </m:r>
            <m:r>
              <m:t>0.141</m:t>
            </m:r>
          </m:e>
        </m:d>
        <m:r>
          <m:rPr>
            <m:sty m:val="p"/>
          </m:rPr>
          <m:t>/</m:t>
        </m:r>
        <m:r>
          <m:t>τ</m:t>
        </m:r>
      </m:oMath>
      <w:r>
        <w:t xml:space="preserve">（</w:t>
      </w:r>
      <m:oMath>
        <m:sSup>
          <m:e>
            <m:r>
              <m:t>R</m:t>
            </m:r>
          </m:e>
          <m:sup>
            <m:r>
              <m:t>2</m:t>
            </m:r>
          </m:sup>
        </m:sSup>
        <m:r>
          <m:rPr>
            <m:sty m:val="p"/>
          </m:rPr>
          <m:t>=</m:t>
        </m:r>
        <m:r>
          <m:t>0.777</m:t>
        </m:r>
      </m:oMath>
      <w:r>
        <w:t xml:space="preserve">，</w:t>
      </w:r>
      <w:r>
        <w:rPr>
          <w:i/>
          <w:iCs/>
        </w:rPr>
        <w:t xml:space="preserve">p</w:t>
      </w:r>
      <w:r>
        <w:t xml:space="preserve">-value &lt; 0.0001，</w:t>
      </w:r>
      <w:hyperlink w:anchor="fig-hrtmib">
        <w:r>
          <w:rPr>
            <w:rStyle w:val="Hyperlink"/>
          </w:rPr>
          <w:t xml:space="preserve">Fig. 2</w:t>
        </w:r>
      </w:hyperlink>
      <w:r>
        <w:t xml:space="preserve">A）。因此，用</w:t>
      </w:r>
      <m:oMath>
        <m:r>
          <m:t>k</m:t>
        </m:r>
        <m:r>
          <m:rPr>
            <m:sty m:val="p"/>
          </m:rPr>
          <m:t>/</m:t>
        </m:r>
        <m:sSub>
          <m:e>
            <m:r>
              <m:t>μ</m:t>
            </m:r>
          </m:e>
          <m:sub>
            <m:r>
              <m:t>s</m:t>
            </m:r>
          </m:sub>
        </m:sSub>
      </m:oMath>
      <w:r>
        <w:t xml:space="preserve">确定了零增长的关键HRT（</w:t>
      </w:r>
      <m:oMath>
        <m:sSubSup>
          <m:e>
            <m:r>
              <m:t>τ</m:t>
            </m:r>
          </m:e>
          <m:sub>
            <m:r>
              <m:t>L</m:t>
            </m:r>
          </m:sub>
          <m:sup>
            <m:r>
              <m:rPr>
                <m:sty m:val="p"/>
              </m:rPr>
              <m:t>*</m:t>
            </m:r>
          </m:sup>
        </m:sSubSup>
        <m:r>
          <m:rPr>
            <m:sty m:val="p"/>
          </m:rPr>
          <m:t>,</m:t>
        </m:r>
        <m:r>
          <m:t> </m:t>
        </m:r>
        <m:r>
          <m:t>d</m:t>
        </m:r>
      </m:oMath>
      <w:r>
        <w:t xml:space="preserve">）为</w:t>
      </w:r>
      <m:oMath>
        <m:r>
          <m:t>4.1</m:t>
        </m:r>
        <m:r>
          <m:rPr>
            <m:sty m:val="p"/>
          </m:rPr>
          <m:t>±</m:t>
        </m:r>
        <m:r>
          <m:t>1.2</m:t>
        </m:r>
        <m:r>
          <m:t> </m:t>
        </m:r>
        <m:r>
          <m:t>d</m:t>
        </m:r>
      </m:oMath>
      <w:r>
        <w:t xml:space="preserve">。同时，确定了两个实际MIB事件中零MIB增加的关键HRT值（</w:t>
      </w:r>
      <m:oMath>
        <m:sSubSup>
          <m:e>
            <m:r>
              <m:t>τ</m:t>
            </m:r>
          </m:e>
          <m:sub>
            <m:r>
              <m:t>F</m:t>
            </m:r>
          </m:sub>
          <m:sup>
            <m:r>
              <m:rPr>
                <m:sty m:val="p"/>
              </m:rPr>
              <m:t>*</m:t>
            </m:r>
          </m:sup>
        </m:sSubSup>
        <m:r>
          <m:rPr>
            <m:sty m:val="p"/>
          </m:rPr>
          <m:t>,</m:t>
        </m:r>
        <m:r>
          <m:t> </m:t>
        </m:r>
        <m:r>
          <m:t>d</m:t>
        </m:r>
      </m:oMath>
      <w:r>
        <w:t xml:space="preserve">）分别为7.6</w:t>
      </w:r>
      <w:r>
        <w:t xml:space="preserve"> </w:t>
      </w:r>
      <m:oMath>
        <m:r>
          <m:t>d</m:t>
        </m:r>
      </m:oMath>
      <w:r>
        <w:t xml:space="preserve">和6.7</w:t>
      </w:r>
      <w:r>
        <w:t xml:space="preserve"> </w:t>
      </w:r>
      <m:oMath>
        <m:r>
          <m:t>d</m:t>
        </m:r>
      </m:oMath>
      <w:r>
        <w:t xml:space="preserve">（</w:t>
      </w:r>
      <w:hyperlink w:anchor="fig-hrtmib">
        <w:r>
          <w:rPr>
            <w:rStyle w:val="Hyperlink"/>
          </w:rPr>
          <w:t xml:space="preserve">Fig. 2</w:t>
        </w:r>
      </w:hyperlink>
      <w:r>
        <w:t xml:space="preserve">B、</w:t>
      </w:r>
      <w:hyperlink w:anchor="fig-hrtmib">
        <w:r>
          <w:rPr>
            <w:rStyle w:val="Hyperlink"/>
          </w:rPr>
          <w:t xml:space="preserve">Fig. 2</w:t>
        </w:r>
      </w:hyperlink>
      <w:r>
        <w:t xml:space="preserve">C）。假设静态生长率</w:t>
      </w:r>
      <m:oMath>
        <m:sSub>
          <m:e>
            <m:r>
              <m:t>μ</m:t>
            </m:r>
          </m:e>
          <m:sub>
            <m:r>
              <m:t>s</m:t>
            </m:r>
          </m:sub>
        </m:sSub>
      </m:oMath>
      <w:r>
        <w:t xml:space="preserve">对于实验室实验和现场调查是相同的，现场的水力影响系数</w:t>
      </w:r>
      <m:oMath>
        <m:sSub>
          <m:e>
            <m:r>
              <m:t>k</m:t>
            </m:r>
          </m:e>
          <m:sub>
            <m:r>
              <m:t>F</m:t>
            </m:r>
          </m:sub>
        </m:sSub>
      </m:oMath>
      <w:r>
        <w:t xml:space="preserve">确定为</w:t>
      </w:r>
      <m:oMath>
        <m:sSub>
          <m:e>
            <m:r>
              <m:t>k</m:t>
            </m:r>
          </m:e>
          <m:sub>
            <m:r>
              <m:t>F</m:t>
            </m:r>
          </m:sub>
        </m:sSub>
        <m:r>
          <m:rPr>
            <m:sty m:val="p"/>
          </m:rPr>
          <m:t>=</m:t>
        </m:r>
        <m:sSubSup>
          <m:e>
            <m:r>
              <m:t>τ</m:t>
            </m:r>
          </m:e>
          <m:sub>
            <m:r>
              <m:t>F</m:t>
            </m:r>
          </m:sub>
          <m:sup>
            <m:r>
              <m:rPr>
                <m:sty m:val="p"/>
              </m:rPr>
              <m:t>*</m:t>
            </m:r>
          </m:sup>
        </m:sSubSup>
        <m:r>
          <m:rPr>
            <m:sty m:val="p"/>
          </m:rPr>
          <m:t>/</m:t>
        </m:r>
        <m:sSubSup>
          <m:e>
            <m:r>
              <m:t>τ</m:t>
            </m:r>
          </m:e>
          <m:sub>
            <m:r>
              <m:t>L</m:t>
            </m:r>
          </m:sub>
          <m:sup>
            <m:r>
              <m:rPr>
                <m:sty m:val="p"/>
              </m:rPr>
              <m:t>*</m:t>
            </m:r>
          </m:sup>
        </m:sSubSup>
        <m:r>
          <m:rPr>
            <m:sty m:val="p"/>
          </m:rPr>
          <m:t>⋅</m:t>
        </m:r>
        <m:sSub>
          <m:e>
            <m:r>
              <m:t>k</m:t>
            </m:r>
          </m:e>
          <m:sub>
            <m:r>
              <m:t>L</m:t>
            </m:r>
          </m:sub>
        </m:sSub>
      </m:oMath>
      <w:r>
        <w:t xml:space="preserve">。两个实际MIB事件的关键HRT比培养实验确定的关键HRT高1.74 ~ 1.97倍，这意味着现场情况下的水力影响系数</w:t>
      </w:r>
      <m:oMath>
        <m:sSub>
          <m:e>
            <m:r>
              <m:t>k</m:t>
            </m:r>
          </m:e>
          <m:sub>
            <m:r>
              <m:t>F</m:t>
            </m:r>
          </m:sub>
        </m:sSub>
      </m:oMath>
      <w:r>
        <w:t xml:space="preserve">为1.83 ~ 2.07。</w:t>
      </w:r>
    </w:p>
    <w:tbl>
      <w:tblPr>
        <w:tblStyle w:val="Table"/>
        <w:tblW w:type="pct" w:w="5000"/>
        <w:tblLayout w:type="fixed"/>
        <w:tblLook w:firstRow="0" w:lastRow="0" w:firstColumn="0" w:lastColumn="0" w:noHBand="0" w:noVBand="0" w:val="0000"/>
      </w:tblPr>
      <w:tblGrid>
        <w:gridCol w:w="7920"/>
      </w:tblGrid>
      <w:tr>
        <w:tc>
          <w:tcPr/>
          <w:bookmarkStart w:id="42" w:name="fig-hrtmib"/>
          <w:p>
            <w:pPr>
              <w:pStyle w:val="Compact"/>
              <w:jc w:val="center"/>
            </w:pPr>
            <w:r>
              <w:drawing>
                <wp:inline>
                  <wp:extent cx="4602480" cy="1427621"/>
                  <wp:effectExtent b="0" l="0" r="0" t="0"/>
                  <wp:docPr descr="" title="" id="40" name="Picture"/>
                  <a:graphic>
                    <a:graphicData uri="http://schemas.openxmlformats.org/drawingml/2006/picture">
                      <pic:pic>
                        <pic:nvPicPr>
                          <pic:cNvPr descr="./figures/hrtmib.png" id="41" name="Picture"/>
                          <pic:cNvPicPr>
                            <a:picLocks noChangeArrowheads="1" noChangeAspect="1"/>
                          </pic:cNvPicPr>
                        </pic:nvPicPr>
                        <pic:blipFill>
                          <a:blip r:embed="rId39"/>
                          <a:stretch>
                            <a:fillRect/>
                          </a:stretch>
                        </pic:blipFill>
                        <pic:spPr bwMode="auto">
                          <a:xfrm>
                            <a:off x="0" y="0"/>
                            <a:ext cx="4602480" cy="1427621"/>
                          </a:xfrm>
                          <a:prstGeom prst="rect">
                            <a:avLst/>
                          </a:prstGeom>
                          <a:noFill/>
                          <a:ln w="9525">
                            <a:noFill/>
                            <a:headEnd/>
                            <a:tailEnd/>
                          </a:ln>
                        </pic:spPr>
                      </pic:pic>
                    </a:graphicData>
                  </a:graphic>
                </wp:inline>
              </w:drawing>
            </w:r>
          </w:p>
          <w:p>
            <w:pPr>
              <w:jc w:val="center"/>
            </w:pPr>
            <w:pPr>
              <w:jc w:val="start"/>
              <w:spacing w:before="200"/>
              <w:pStyle w:val="ImageCaption"/>
            </w:pPr>
            <w:r>
              <w:t xml:space="preserve">Fig. 2 根据一个培养实验（A）和珠海NP水库中发生的两次实际MIB事件（B、C），MIB浓度与水力停留时间高度相关。</w:t>
            </w:r>
          </w:p>
          <w:bookmarkEnd w:id="42"/>
        </w:tc>
      </w:tr>
    </w:tbl>
    <w:p>
      <w:pPr>
        <w:pStyle w:val="BodyText"/>
      </w:pPr>
      <w:r>
        <w:t xml:space="preserve">通过</w:t>
      </w:r>
      <m:oMath>
        <m:sSub>
          <m:e>
            <m:r>
              <m:t>k</m:t>
            </m:r>
          </m:e>
          <m:sub>
            <m:r>
              <m:t>F</m:t>
            </m:r>
          </m:sub>
        </m:sSub>
        <m:r>
          <m:rPr>
            <m:sty m:val="p"/>
          </m:rPr>
          <m:t>/</m:t>
        </m:r>
        <m:sSub>
          <m:e>
            <m:r>
              <m:t>μ</m:t>
            </m:r>
          </m:e>
          <m:sub>
            <m:r>
              <m:t>s</m:t>
            </m:r>
          </m:sub>
        </m:sSub>
      </m:oMath>
      <w:r>
        <w:t xml:space="preserve">确定的关键HRT（</w:t>
      </w:r>
      <m:oMath>
        <m:sSubSup>
          <m:e>
            <m:r>
              <m:t>τ</m:t>
            </m:r>
          </m:e>
          <m:sub>
            <m:r>
              <m:t>F</m:t>
            </m:r>
          </m:sub>
          <m:sup>
            <m:r>
              <m:rPr>
                <m:sty m:val="p"/>
              </m:rPr>
              <m:t>*</m:t>
            </m:r>
          </m:sup>
        </m:sSubSup>
      </m:oMath>
      <w:r>
        <w:t xml:space="preserve">）是可用于指导水库运营的关键参数。基于来自文献的文化实验确定的1,480条记录，14个蓝藻属的生长率已总结在Table 6中，这些蓝藻属的生长率与关键HRT的关系如</w:t>
      </w:r>
      <w:hyperlink w:anchor="fig-mech">
        <w:r>
          <w:rPr>
            <w:rStyle w:val="Hyperlink"/>
          </w:rPr>
          <w:t xml:space="preserve">Fig. 3</w:t>
        </w:r>
      </w:hyperlink>
      <w:r>
        <w:t xml:space="preserve">所示。假设现场情况下的水力影响系数（</w:t>
      </w:r>
      <m:oMath>
        <m:sSub>
          <m:e>
            <m:r>
              <m:t>k</m:t>
            </m:r>
          </m:e>
          <m:sub>
            <m:r>
              <m:t>F</m:t>
            </m:r>
          </m:sub>
        </m:sSub>
      </m:oMath>
      <w:r>
        <w:t xml:space="preserve">）在1.5 ~ 3.0范围内，基于它们的中位数静态生长率（</w:t>
      </w:r>
      <m:oMath>
        <m:sSub>
          <m:e>
            <m:r>
              <m:t>μ</m:t>
            </m:r>
          </m:e>
          <m:sub>
            <m:r>
              <m:t>s</m:t>
            </m:r>
          </m:sub>
        </m:sSub>
      </m:oMath>
      <w:r>
        <w:t xml:space="preserve">）确定了</w:t>
      </w:r>
      <m:oMath>
        <m:sSubSup>
          <m:e>
            <m:r>
              <m:t>τ</m:t>
            </m:r>
          </m:e>
          <m:sub>
            <m:r>
              <m:t>F</m:t>
            </m:r>
          </m:sub>
          <m:sup>
            <m:r>
              <m:rPr>
                <m:sty m:val="p"/>
              </m:rPr>
              <m:t>*</m:t>
            </m:r>
          </m:sup>
        </m:sSubSup>
      </m:oMath>
      <w:r>
        <w:t xml:space="preserve">的值。较高的</w:t>
      </w:r>
      <m:oMath>
        <m:sSub>
          <m:e>
            <m:r>
              <m:t>μ</m:t>
            </m:r>
          </m:e>
          <m:sub>
            <m:r>
              <m:t>s</m:t>
            </m:r>
          </m:sub>
        </m:sSub>
      </m:oMath>
      <w:r>
        <w:t xml:space="preserve">需要较小的HRT。例如，</w:t>
      </w:r>
      <w:r>
        <w:rPr>
          <w:i/>
          <w:iCs/>
        </w:rPr>
        <w:t xml:space="preserve">Synechoccus</w:t>
      </w:r>
      <w:r>
        <w:t xml:space="preserve">的控制需要短于2.1 ~ 4.2</w:t>
      </w:r>
      <w:r>
        <w:t xml:space="preserve"> </w:t>
      </w:r>
      <m:oMath>
        <m:r>
          <m:t>d</m:t>
        </m:r>
      </m:oMath>
      <w:r>
        <w:t xml:space="preserve">的HRT，而</w:t>
      </w:r>
      <w:r>
        <w:rPr>
          <w:i/>
          <w:iCs/>
        </w:rPr>
        <w:t xml:space="preserve">Phormidium</w:t>
      </w:r>
      <w:r>
        <w:t xml:space="preserve">可以通过短于7.7 ~ 15.4</w:t>
      </w:r>
      <w:r>
        <w:t xml:space="preserve"> </w:t>
      </w:r>
      <m:oMath>
        <m:r>
          <m:t>d</m:t>
        </m:r>
      </m:oMath>
      <w:r>
        <w:t xml:space="preserve">的HRT得到很好的控制。频繁报道的MIB产生菌的关键HRT值包括</w:t>
      </w:r>
      <w:r>
        <w:rPr>
          <w:i/>
          <w:iCs/>
        </w:rPr>
        <w:t xml:space="preserve">Planktothrix</w:t>
      </w:r>
      <w:r>
        <w:t xml:space="preserve">、</w:t>
      </w:r>
      <w:r>
        <w:rPr>
          <w:i/>
          <w:iCs/>
        </w:rPr>
        <w:t xml:space="preserve">Planktothricoides</w:t>
      </w:r>
      <w:r>
        <w:t xml:space="preserve">、</w:t>
      </w:r>
      <w:r>
        <w:rPr>
          <w:i/>
          <w:iCs/>
        </w:rPr>
        <w:t xml:space="preserve">Oscillatoria</w:t>
      </w:r>
      <w:r>
        <w:t xml:space="preserve">、</w:t>
      </w:r>
      <w:r>
        <w:rPr>
          <w:i/>
          <w:iCs/>
        </w:rPr>
        <w:t xml:space="preserve">Pseudanabaena</w:t>
      </w:r>
      <w:r>
        <w:t xml:space="preserve">、</w:t>
      </w:r>
      <w:r>
        <w:rPr>
          <w:i/>
          <w:iCs/>
        </w:rPr>
        <w:t xml:space="preserve">Phormidium</w:t>
      </w:r>
      <w:r>
        <w:t xml:space="preserve">和</w:t>
      </w:r>
      <w:r>
        <w:rPr>
          <w:i/>
          <w:iCs/>
        </w:rPr>
        <w:t xml:space="preserve">Lyngbya</w:t>
      </w:r>
      <w:r>
        <w:t xml:space="preserve">(Izaguirre and Taylor, 2004; Watson, 2003)</w:t>
      </w:r>
      <w:r>
        <w:t xml:space="preserve">分别确定为3.4 ~ 6.8</w:t>
      </w:r>
      <w:r>
        <w:t xml:space="preserve"> </w:t>
      </w:r>
      <m:oMath>
        <m:r>
          <m:t>d</m:t>
        </m:r>
      </m:oMath>
      <w:r>
        <w:t xml:space="preserve">；4.6 ~ 9.1</w:t>
      </w:r>
      <w:r>
        <w:t xml:space="preserve"> </w:t>
      </w:r>
      <m:oMath>
        <m:r>
          <m:t>d</m:t>
        </m:r>
      </m:oMath>
      <w:r>
        <w:t xml:space="preserve">；5.8 ~ 11.6</w:t>
      </w:r>
      <w:r>
        <w:t xml:space="preserve"> </w:t>
      </w:r>
      <m:oMath>
        <m:r>
          <m:t>d</m:t>
        </m:r>
      </m:oMath>
      <w:r>
        <w:t xml:space="preserve">；7.5 ~ 15.0</w:t>
      </w:r>
      <w:r>
        <w:t xml:space="preserve"> </w:t>
      </w:r>
      <m:oMath>
        <m:r>
          <m:t>d</m:t>
        </m:r>
      </m:oMath>
      <w:r>
        <w:t xml:space="preserve">；7.7 ~ 15.4</w:t>
      </w:r>
      <w:r>
        <w:t xml:space="preserve"> </w:t>
      </w:r>
      <m:oMath>
        <m:r>
          <m:t>d</m:t>
        </m:r>
      </m:oMath>
      <w:r>
        <w:t xml:space="preserve">；和10.3 ~ 20.7</w:t>
      </w:r>
      <w:r>
        <w:t xml:space="preserve"> </w:t>
      </w:r>
      <m:oMath>
        <m:r>
          <m:t>d</m:t>
        </m:r>
      </m:oMath>
      <w:r>
        <w:t xml:space="preserve">，（</w:t>
      </w:r>
      <w:hyperlink w:anchor="fig-mech">
        <w:r>
          <w:rPr>
            <w:rStyle w:val="Hyperlink"/>
          </w:rPr>
          <w:t xml:space="preserve">Fig.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6" w:name="fig-mech"/>
          <w:p>
            <w:pPr>
              <w:pStyle w:val="Compact"/>
              <w:jc w:val="center"/>
            </w:pPr>
            <w:r>
              <w:drawing>
                <wp:inline>
                  <wp:extent cx="4602480" cy="3861480"/>
                  <wp:effectExtent b="0" l="0" r="0" t="0"/>
                  <wp:docPr descr="" title="" id="44" name="Picture"/>
                  <a:graphic>
                    <a:graphicData uri="http://schemas.openxmlformats.org/drawingml/2006/picture">
                      <pic:pic>
                        <pic:nvPicPr>
                          <pic:cNvPr descr="./figures/mech.png" id="45" name="Picture"/>
                          <pic:cNvPicPr>
                            <a:picLocks noChangeArrowheads="1" noChangeAspect="1"/>
                          </pic:cNvPicPr>
                        </pic:nvPicPr>
                        <pic:blipFill>
                          <a:blip r:embed="rId43"/>
                          <a:stretch>
                            <a:fillRect/>
                          </a:stretch>
                        </pic:blipFill>
                        <pic:spPr bwMode="auto">
                          <a:xfrm>
                            <a:off x="0" y="0"/>
                            <a:ext cx="4602480" cy="3861480"/>
                          </a:xfrm>
                          <a:prstGeom prst="rect">
                            <a:avLst/>
                          </a:prstGeom>
                          <a:noFill/>
                          <a:ln w="9525">
                            <a:noFill/>
                            <a:headEnd/>
                            <a:tailEnd/>
                          </a:ln>
                        </pic:spPr>
                      </pic:pic>
                    </a:graphicData>
                  </a:graphic>
                </wp:inline>
              </w:drawing>
            </w:r>
          </w:p>
          <w:p>
            <w:pPr>
              <w:jc w:val="center"/>
            </w:pPr>
            <w:pPr>
              <w:jc w:val="start"/>
              <w:spacing w:before="200"/>
              <w:pStyle w:val="ImageCaption"/>
            </w:pPr>
            <w:r>
              <w:t xml:space="preserve">Fig. 3 14个典型蓝藻属的关键HRT值</w:t>
            </w:r>
            <w:r>
              <w:t xml:space="preserve"> </w:t>
            </w:r>
            <m:oMath>
              <m:sSubSup>
                <m:e>
                  <m:r>
                    <m:t>τ</m:t>
                  </m:r>
                </m:e>
                <m:sub>
                  <m:r>
                    <m:t>F</m:t>
                  </m:r>
                </m:sub>
                <m:sup>
                  <m:r>
                    <m:rPr>
                      <m:sty m:val="p"/>
                    </m:rPr>
                    <m:t>*</m:t>
                  </m:r>
                </m:sup>
              </m:sSubSup>
            </m:oMath>
            <w:r>
              <w:t xml:space="preserve">，由经验</w:t>
            </w:r>
            <w:r>
              <w:t xml:space="preserve"> </w:t>
            </w:r>
            <m:oMath>
              <m:sSub>
                <m:e>
                  <m:r>
                    <m:t>k</m:t>
                  </m:r>
                </m:e>
                <m:sub>
                  <m:r>
                    <m:t>F</m:t>
                  </m:r>
                </m:sub>
              </m:sSub>
            </m:oMath>
            <w:r>
              <w:t xml:space="preserve"> </w:t>
            </w:r>
            <w:r>
              <w:t xml:space="preserve">值和它们的中位数静态生长速率 (</w:t>
            </w:r>
            <m:oMath>
              <m:sSub>
                <m:e>
                  <m:r>
                    <m:t>μ</m:t>
                  </m:r>
                </m:e>
                <m:sub>
                  <m:r>
                    <m:t>s</m:t>
                  </m:r>
                </m:sub>
              </m:sSub>
            </m:oMath>
            <w:r>
              <w:t xml:space="preserve">) 确定。</w:t>
            </w:r>
          </w:p>
          <w:bookmarkEnd w:id="46"/>
        </w:tc>
      </w:tr>
    </w:tbl>
    <w:bookmarkEnd w:id="47"/>
    <w:bookmarkStart w:id="56" w:name="hrt调节在mib控制方面的现场应用"/>
    <w:p>
      <w:pPr>
        <w:pStyle w:val="Heading2"/>
      </w:pPr>
      <w:r>
        <w:t xml:space="preserve">HRT调节在MIB控制方面的现场应用</w:t>
      </w:r>
    </w:p>
    <w:p>
      <w:pPr>
        <w:pStyle w:val="FirstParagraph"/>
      </w:pPr>
      <w:r>
        <w:t xml:space="preserve">2021年4月，对珠溪洞水库进行了HRT调节以影响蓝藻生长。该水库的平均HRT为12.3 ± 7.3</w:t>
      </w:r>
      <w:r>
        <w:t xml:space="preserve"> </w:t>
      </w:r>
      <m:oMath>
        <m:r>
          <m:t>d</m:t>
        </m:r>
      </m:oMath>
      <w:r>
        <w:t xml:space="preserve">，MIB浓度（4.2 ng L</w:t>
      </w:r>
      <w:r>
        <w:rPr>
          <w:vertAlign w:val="superscript"/>
        </w:rPr>
        <w:t xml:space="preserve">-1</w:t>
      </w:r>
      <w:r>
        <w:t xml:space="preserve">）和浮游植物密度（chl</w:t>
      </w:r>
      <w:r>
        <w:t xml:space="preserve"> </w:t>
      </w:r>
      <w:r>
        <w:rPr>
          <w:i/>
          <w:iCs/>
        </w:rPr>
        <w:t xml:space="preserve">a</w:t>
      </w:r>
      <w:r>
        <w:t xml:space="preserve">，2.5 μg L</w:t>
      </w:r>
      <w:r>
        <w:rPr>
          <w:vertAlign w:val="superscript"/>
        </w:rPr>
        <w:t xml:space="preserve">-1</w:t>
      </w:r>
      <w:r>
        <w:t xml:space="preserve">）相对较低。然而，由于上游泵站建设，从3月13日至18日停止了所有入流，导致2021年3月20日开始发生了MIB事件。尽管HRT从3月19日缩短为18.0 ± 2.2</w:t>
      </w:r>
      <w:r>
        <w:t xml:space="preserve"> </w:t>
      </w:r>
      <m:oMath>
        <m:r>
          <m:t>d</m:t>
        </m:r>
      </m:oMath>
      <w:r>
        <w:t xml:space="preserve">，但MIB浓度仍然持续增加，最大浓度为51.7 ± 12.8 ng L</w:t>
      </w:r>
      <w:r>
        <w:rPr>
          <w:vertAlign w:val="superscript"/>
        </w:rPr>
        <w:t xml:space="preserve">-1</w:t>
      </w:r>
      <w:r>
        <w:t xml:space="preserve">，观察到于4月15日（</w:t>
      </w:r>
      <w:hyperlink w:anchor="fig-zxd">
        <w:r>
          <w:rPr>
            <w:rStyle w:val="Hyperlink"/>
          </w:rPr>
          <w:t xml:space="preserve">Fig. 4</w:t>
        </w:r>
      </w:hyperlink>
      <w:r>
        <w:t xml:space="preserve">A）。在此期间，其他主要水质参数没有显著变化（Table 7，Table 8）。平均营养物浓度分别为1,615 ± 143 μg L</w:t>
      </w:r>
      <w:r>
        <w:rPr>
          <w:vertAlign w:val="superscript"/>
        </w:rPr>
        <w:t xml:space="preserve">-1</w:t>
      </w:r>
      <w:r>
        <w:t xml:space="preserve">（TN），15 ± 3 μg L</w:t>
      </w:r>
      <w:r>
        <w:rPr>
          <w:vertAlign w:val="superscript"/>
        </w:rPr>
        <w:t xml:space="preserve">-1</w:t>
      </w:r>
      <w:r>
        <w:t xml:space="preserve">（TP），73 ± 59 μg L</w:t>
      </w:r>
      <w:r>
        <w:rPr>
          <w:vertAlign w:val="superscript"/>
        </w:rPr>
        <w:t xml:space="preserve">-1</w:t>
      </w:r>
      <w:r>
        <w:t xml:space="preserve">（NH~4^- -N）和1,438 ± 141 μg L</w:t>
      </w:r>
      <w:r>
        <w:rPr>
          <w:vertAlign w:val="superscript"/>
        </w:rPr>
        <w:t xml:space="preserve">-1</w:t>
      </w:r>
      <w:r>
        <w:t xml:space="preserve">（NO~3^- -N）。</w:t>
      </w:r>
    </w:p>
    <w:p>
      <w:pPr>
        <w:pStyle w:val="BodyText"/>
      </w:pPr>
      <w:r>
        <w:t xml:space="preserve">蓝藻占浮游植物群落的91.5%，主要包括丝状属，包括</w:t>
      </w:r>
      <w:r>
        <w:rPr>
          <w:i/>
          <w:iCs/>
        </w:rPr>
        <w:t xml:space="preserve">Pseudanabaena</w:t>
      </w:r>
      <w:r>
        <w:t xml:space="preserve">（19.8%），</w:t>
      </w:r>
      <w:r>
        <w:rPr>
          <w:i/>
          <w:iCs/>
        </w:rPr>
        <w:t xml:space="preserve">Limnothrix</w:t>
      </w:r>
      <w:r>
        <w:t xml:space="preserve">（29.7%），</w:t>
      </w:r>
      <w:r>
        <w:rPr>
          <w:i/>
          <w:iCs/>
        </w:rPr>
        <w:t xml:space="preserve">Aphanizomenon</w:t>
      </w:r>
      <w:r>
        <w:t xml:space="preserve">（12.9%），</w:t>
      </w:r>
      <w:r>
        <w:rPr>
          <w:i/>
          <w:iCs/>
        </w:rPr>
        <w:t xml:space="preserve">Cylindrospermopsis</w:t>
      </w:r>
      <w:r>
        <w:t xml:space="preserve">（6.2%），</w:t>
      </w:r>
      <w:r>
        <w:rPr>
          <w:i/>
          <w:iCs/>
        </w:rPr>
        <w:t xml:space="preserve">Dolichospermum</w:t>
      </w:r>
      <w:r>
        <w:t xml:space="preserve">（5.7%）和</w:t>
      </w:r>
      <w:r>
        <w:rPr>
          <w:i/>
          <w:iCs/>
        </w:rPr>
        <w:t xml:space="preserve">Planktothrix</w:t>
      </w:r>
      <w:r>
        <w:t xml:space="preserve">（5.1%），如</w:t>
      </w:r>
      <w:hyperlink w:anchor="fig-zxd">
        <w:r>
          <w:rPr>
            <w:rStyle w:val="Hyperlink"/>
          </w:rPr>
          <w:t xml:space="preserve">Fig. 4</w:t>
        </w:r>
      </w:hyperlink>
      <w:r>
        <w:t xml:space="preserve">B所示。在水库中，</w:t>
      </w:r>
      <w:r>
        <w:rPr>
          <w:i/>
          <w:iCs/>
        </w:rPr>
        <w:t xml:space="preserve">Planktothrix</w:t>
      </w:r>
      <w:r>
        <w:t xml:space="preserve">和</w:t>
      </w:r>
      <w:r>
        <w:rPr>
          <w:i/>
          <w:iCs/>
        </w:rPr>
        <w:t xml:space="preserve">Pseudanabaena</w:t>
      </w:r>
      <w:r>
        <w:t xml:space="preserve">都是潜在的MIB产生菌。</w:t>
      </w:r>
      <w:r>
        <w:rPr>
          <w:i/>
          <w:iCs/>
        </w:rPr>
        <w:t xml:space="preserve">Planktothrix</w:t>
      </w:r>
      <w:r>
        <w:t xml:space="preserve">几乎不存在，与MIB没有明显的相关性（</w:t>
      </w:r>
      <w:r>
        <w:rPr>
          <w:i/>
          <w:iCs/>
        </w:rPr>
        <w:t xml:space="preserve">r</w:t>
      </w:r>
      <w:r>
        <w:t xml:space="preserve"> </w:t>
      </w:r>
      <w:r>
        <w:t xml:space="preserve">= -0.58，</w:t>
      </w:r>
      <w:r>
        <w:rPr>
          <w:i/>
          <w:iCs/>
        </w:rPr>
        <w:t xml:space="preserve">p</w:t>
      </w:r>
      <w:r>
        <w:t xml:space="preserve">-value = 0.128）。然而，</w:t>
      </w:r>
      <w:r>
        <w:rPr>
          <w:i/>
          <w:iCs/>
        </w:rPr>
        <w:t xml:space="preserve">Pseudanabaena</w:t>
      </w:r>
      <w:r>
        <w:t xml:space="preserve">表现出与MIB动态同步增加的趋势，从3月8日的6.36 × 10</w:t>
      </w:r>
      <w:r>
        <w:rPr>
          <w:vertAlign w:val="superscript"/>
        </w:rPr>
        <w:t xml:space="preserve">4</w:t>
      </w:r>
      <w:r>
        <w:t xml:space="preserve">细胞 L</w:t>
      </w:r>
      <w:r>
        <w:rPr>
          <w:vertAlign w:val="superscript"/>
        </w:rPr>
        <w:t xml:space="preserve">-1</w:t>
      </w:r>
      <w:r>
        <w:t xml:space="preserve">（0.53%）增加到4月17日的9.98 × 10</w:t>
      </w:r>
      <w:r>
        <w:rPr>
          <w:vertAlign w:val="superscript"/>
        </w:rPr>
        <w:t xml:space="preserve">6</w:t>
      </w:r>
      <w:r>
        <w:t xml:space="preserve">细胞 L</w:t>
      </w:r>
      <w:r>
        <w:rPr>
          <w:vertAlign w:val="superscript"/>
        </w:rPr>
        <w:t xml:space="preserve">-1</w:t>
      </w:r>
      <w:r>
        <w:t xml:space="preserve">（25.2%）（</w:t>
      </w:r>
      <w:r>
        <w:rPr>
          <w:i/>
          <w:iCs/>
        </w:rPr>
        <w:t xml:space="preserve">r</w:t>
      </w:r>
      <w:r>
        <w:t xml:space="preserve"> </w:t>
      </w:r>
      <w:r>
        <w:t xml:space="preserve">= 0.79，</w:t>
      </w:r>
      <w:r>
        <w:rPr>
          <w:i/>
          <w:iCs/>
        </w:rPr>
        <w:t xml:space="preserve">p</w:t>
      </w:r>
      <w:r>
        <w:t xml:space="preserve">-value = 0.028，Fig. 7）。因此，确认它是珠溪洞水库的主要MIB产生菌。</w:t>
      </w:r>
    </w:p>
    <w:tbl>
      <w:tblPr>
        <w:tblStyle w:val="Table"/>
        <w:tblW w:type="pct" w:w="5000"/>
        <w:tblLayout w:type="fixed"/>
        <w:tblLook w:firstRow="0" w:lastRow="0" w:firstColumn="0" w:lastColumn="0" w:noHBand="0" w:noVBand="0" w:val="0000"/>
      </w:tblPr>
      <w:tblGrid>
        <w:gridCol w:w="7920"/>
      </w:tblGrid>
      <w:tr>
        <w:tc>
          <w:tcPr/>
          <w:bookmarkStart w:id="51" w:name="fig-zxd"/>
          <w:p>
            <w:pPr>
              <w:pStyle w:val="Compact"/>
              <w:jc w:val="center"/>
            </w:pPr>
            <w:r>
              <w:drawing>
                <wp:inline>
                  <wp:extent cx="5177790" cy="1872999"/>
                  <wp:effectExtent b="0" l="0" r="0" t="0"/>
                  <wp:docPr descr="" title="" id="49" name="Picture"/>
                  <a:graphic>
                    <a:graphicData uri="http://schemas.openxmlformats.org/drawingml/2006/picture">
                      <pic:pic>
                        <pic:nvPicPr>
                          <pic:cNvPr descr="./figures/zxd.png" id="50" name="Picture"/>
                          <pic:cNvPicPr>
                            <a:picLocks noChangeArrowheads="1" noChangeAspect="1"/>
                          </pic:cNvPicPr>
                        </pic:nvPicPr>
                        <pic:blipFill>
                          <a:blip r:embed="rId48"/>
                          <a:stretch>
                            <a:fillRect/>
                          </a:stretch>
                        </pic:blipFill>
                        <pic:spPr bwMode="auto">
                          <a:xfrm>
                            <a:off x="0" y="0"/>
                            <a:ext cx="5177790" cy="1872999"/>
                          </a:xfrm>
                          <a:prstGeom prst="rect">
                            <a:avLst/>
                          </a:prstGeom>
                          <a:noFill/>
                          <a:ln w="9525">
                            <a:noFill/>
                            <a:headEnd/>
                            <a:tailEnd/>
                          </a:ln>
                        </pic:spPr>
                      </pic:pic>
                    </a:graphicData>
                  </a:graphic>
                </wp:inline>
              </w:drawing>
            </w:r>
          </w:p>
          <w:p>
            <w:pPr>
              <w:jc w:val="center"/>
            </w:pPr>
            <w:pPr>
              <w:jc w:val="start"/>
              <w:spacing w:before="200"/>
              <w:pStyle w:val="ImageCaption"/>
            </w:pPr>
            <w:r>
              <w:t xml:space="preserve">Fig. 4 在ZXD水库的水力停留时间（HRT）相关联的MIB浓度变化（A）和典型蓝藻属（B）（使用黑线和橙色圆圈表示不同</w:t>
            </w:r>
            <m:oMath>
              <m:r>
                <m:t>k</m:t>
              </m:r>
            </m:oMath>
            <w:r>
              <w:t xml:space="preserve">值的模拟MIB浓度）。</w:t>
            </w:r>
          </w:p>
          <w:bookmarkEnd w:id="51"/>
        </w:tc>
      </w:tr>
    </w:tbl>
    <w:p>
      <w:pPr>
        <w:pStyle w:val="BodyText"/>
      </w:pPr>
      <w:r>
        <w:t xml:space="preserve">4月18日，通过提高入流和出流速率将水量从10.07 × 10</w:t>
      </w:r>
      <w:r>
        <w:rPr>
          <w:vertAlign w:val="superscript"/>
        </w:rPr>
        <w:t xml:space="preserve">4</w:t>
      </w:r>
      <w:r>
        <w:t xml:space="preserve"> </w:t>
      </w:r>
      <w:r>
        <w:t xml:space="preserve">m</w:t>
      </w:r>
      <w:r>
        <w:rPr>
          <w:vertAlign w:val="superscript"/>
        </w:rPr>
        <w:t xml:space="preserve">3</w:t>
      </w:r>
      <w:r>
        <w:t xml:space="preserve"> </w:t>
      </w:r>
      <w:r>
        <w:t xml:space="preserve">d</w:t>
      </w:r>
      <w:r>
        <w:rPr>
          <w:vertAlign w:val="superscript"/>
        </w:rPr>
        <w:t xml:space="preserve">-1</w:t>
      </w:r>
      <w:r>
        <w:t xml:space="preserve">提高到33.96 × 10</w:t>
      </w:r>
      <w:r>
        <w:rPr>
          <w:vertAlign w:val="superscript"/>
        </w:rPr>
        <w:t xml:space="preserve">4</w:t>
      </w:r>
      <w:r>
        <w:t xml:space="preserve"> </w:t>
      </w:r>
      <w:r>
        <w:t xml:space="preserve">m</w:t>
      </w:r>
      <w:r>
        <w:rPr>
          <w:vertAlign w:val="superscript"/>
        </w:rPr>
        <w:t xml:space="preserve">3</w:t>
      </w:r>
      <w:r>
        <w:t xml:space="preserve"> </w:t>
      </w:r>
      <w:r>
        <w:t xml:space="preserve">d</w:t>
      </w:r>
      <w:r>
        <w:rPr>
          <w:vertAlign w:val="superscript"/>
        </w:rPr>
        <w:t xml:space="preserve">-1</w:t>
      </w:r>
      <w:r>
        <w:t xml:space="preserve">来应用HRT调节。这导致HRT显著减少至5.4 ± 0.8</w:t>
      </w:r>
      <w:r>
        <w:t xml:space="preserve"> </w:t>
      </w:r>
      <m:oMath>
        <m:r>
          <m:t>d</m:t>
        </m:r>
      </m:oMath>
      <w:r>
        <w:t xml:space="preserve">，低于</w:t>
      </w:r>
      <w:r>
        <w:rPr>
          <w:i/>
          <w:iCs/>
        </w:rPr>
        <w:t xml:space="preserve">Pseudanabaena</w:t>
      </w:r>
      <w:r>
        <w:t xml:space="preserve">的临界HRT值（7.5 ~ 15</w:t>
      </w:r>
      <w:r>
        <w:t xml:space="preserve"> </w:t>
      </w:r>
      <m:oMath>
        <m:r>
          <m:t>d</m:t>
        </m:r>
      </m:oMath>
      <w:r>
        <w:t xml:space="preserve">，</w:t>
      </w:r>
      <w:hyperlink w:anchor="fig-zxd">
        <w:r>
          <w:rPr>
            <w:rStyle w:val="Hyperlink"/>
          </w:rPr>
          <w:t xml:space="preserve">Fig. 4</w:t>
        </w:r>
      </w:hyperlink>
      <w:r>
        <w:t xml:space="preserve">）。通过使用R中的</w:t>
      </w:r>
      <w:r>
        <w:rPr>
          <w:b/>
          <w:bCs/>
        </w:rPr>
        <w:t xml:space="preserve">nls</w:t>
      </w:r>
      <w:r>
        <w:t xml:space="preserve">函数对路由数据进行非线性回归，得到的</w:t>
      </w:r>
      <w:r>
        <w:rPr>
          <w:i/>
          <w:iCs/>
        </w:rPr>
        <w:t xml:space="preserve">k</w:t>
      </w:r>
      <w:r>
        <w:t xml:space="preserve">值约为2.03（</w:t>
      </w:r>
      <w:r>
        <w:rPr>
          <w:i/>
          <w:iCs/>
        </w:rPr>
        <w:t xml:space="preserve">p</w:t>
      </w:r>
      <w:r>
        <w:t xml:space="preserve">-value &lt; 0.001，</w:t>
      </w:r>
      <w:hyperlink w:anchor="fig-hrtcompare">
        <w:r>
          <w:rPr>
            <w:rStyle w:val="Hyperlink"/>
          </w:rPr>
          <w:t xml:space="preserve">Fig. 5</w:t>
        </w:r>
      </w:hyperlink>
      <w:r>
        <w:t xml:space="preserve">A）。HRT调节前后整个浮游植物群落结构没有显著差异（</w:t>
      </w:r>
      <w:r>
        <w:rPr>
          <w:i/>
          <w:iCs/>
        </w:rPr>
        <w:t xml:space="preserve">p</w:t>
      </w:r>
      <w:r>
        <w:t xml:space="preserve">-value = 0.072），并且以蓝藻为主，相对丰度为93.8%（Fig. 9）。自从应用HRT调节以来，浮游植物的生长受到了抑制，从最大观测到的细胞密度39.61 × 10</w:t>
      </w:r>
      <w:r>
        <w:rPr>
          <w:vertAlign w:val="superscript"/>
        </w:rPr>
        <w:t xml:space="preserve">6</w:t>
      </w:r>
      <w:r>
        <w:t xml:space="preserve">细胞 L</w:t>
      </w:r>
      <w:r>
        <w:rPr>
          <w:vertAlign w:val="superscript"/>
        </w:rPr>
        <w:t xml:space="preserve">-1</w:t>
      </w:r>
      <w:r>
        <w:t xml:space="preserve">（4月17日）显著减少到8.86 × 10</w:t>
      </w:r>
      <w:r>
        <w:rPr>
          <w:vertAlign w:val="superscript"/>
        </w:rPr>
        <w:t xml:space="preserve">6</w:t>
      </w:r>
      <w:r>
        <w:t xml:space="preserve">细胞 L</w:t>
      </w:r>
      <w:r>
        <w:rPr>
          <w:vertAlign w:val="superscript"/>
        </w:rPr>
        <w:t xml:space="preserve">-1</w:t>
      </w:r>
      <w:r>
        <w:t xml:space="preserve">（4月24日）。主要属的平均细胞密度，包括</w:t>
      </w:r>
      <w:r>
        <w:rPr>
          <w:i/>
          <w:iCs/>
        </w:rPr>
        <w:t xml:space="preserve">Limnothrix</w:t>
      </w:r>
      <w:r>
        <w:t xml:space="preserve">、</w:t>
      </w:r>
      <w:r>
        <w:rPr>
          <w:i/>
          <w:iCs/>
        </w:rPr>
        <w:t xml:space="preserve">Aphanizomenon</w:t>
      </w:r>
      <w:r>
        <w:t xml:space="preserve">和</w:t>
      </w:r>
      <w:r>
        <w:rPr>
          <w:i/>
          <w:iCs/>
        </w:rPr>
        <w:t xml:space="preserve">Cylindrospermopsis</w:t>
      </w:r>
      <w:r>
        <w:t xml:space="preserve">，在HRT调节后分别从（6.98 ± 4.65）× 10</w:t>
      </w:r>
      <w:r>
        <w:rPr>
          <w:vertAlign w:val="superscript"/>
        </w:rPr>
        <w:t xml:space="preserve">6</w:t>
      </w:r>
      <w:r>
        <w:t xml:space="preserve">、（2.66 ± 2.61）× 10</w:t>
      </w:r>
      <w:r>
        <w:rPr>
          <w:vertAlign w:val="superscript"/>
        </w:rPr>
        <w:t xml:space="preserve">6</w:t>
      </w:r>
      <w:r>
        <w:t xml:space="preserve">、（1.22 ± 2.21）× 10</w:t>
      </w:r>
      <w:r>
        <w:rPr>
          <w:vertAlign w:val="superscript"/>
        </w:rPr>
        <w:t xml:space="preserve">6</w:t>
      </w:r>
      <w:r>
        <w:t xml:space="preserve">细胞 L</w:t>
      </w:r>
      <w:r>
        <w:rPr>
          <w:vertAlign w:val="superscript"/>
        </w:rPr>
        <w:t xml:space="preserve">-1</w:t>
      </w:r>
      <w:r>
        <w:t xml:space="preserve">减少到（2.41 ± 1.03）× 10</w:t>
      </w:r>
      <w:r>
        <w:rPr>
          <w:vertAlign w:val="superscript"/>
        </w:rPr>
        <w:t xml:space="preserve">6</w:t>
      </w:r>
      <w:r>
        <w:t xml:space="preserve">、（1.12 ± 1.59）× 10</w:t>
      </w:r>
      <w:r>
        <w:rPr>
          <w:vertAlign w:val="superscript"/>
        </w:rPr>
        <w:t xml:space="preserve">6</w:t>
      </w:r>
      <w:r>
        <w:t xml:space="preserve">、（0.75 ± 1.06）× 10</w:t>
      </w:r>
      <w:r>
        <w:rPr>
          <w:vertAlign w:val="superscript"/>
        </w:rPr>
        <w:t xml:space="preserve">6</w:t>
      </w:r>
      <w:r>
        <w:t xml:space="preserve">细胞 L</w:t>
      </w:r>
      <w:r>
        <w:rPr>
          <w:vertAlign w:val="superscript"/>
        </w:rPr>
        <w:t xml:space="preserve">-1</w:t>
      </w:r>
      <w:r>
        <w:t xml:space="preserve">。特别是MIB产生菌</w:t>
      </w:r>
      <w:r>
        <w:rPr>
          <w:i/>
          <w:iCs/>
        </w:rPr>
        <w:t xml:space="preserve">Pseudanabaena</w:t>
      </w:r>
      <w:r>
        <w:t xml:space="preserve">的丰度（从4月17日的9.98 × 10</w:t>
      </w:r>
      <w:r>
        <w:rPr>
          <w:vertAlign w:val="superscript"/>
        </w:rPr>
        <w:t xml:space="preserve">6</w:t>
      </w:r>
      <w:r>
        <w:t xml:space="preserve">细胞 L</w:t>
      </w:r>
      <w:r>
        <w:rPr>
          <w:vertAlign w:val="superscript"/>
        </w:rPr>
        <w:t xml:space="preserve">-1</w:t>
      </w:r>
      <w:r>
        <w:t xml:space="preserve">减少到4月24日的1.12 × 10</w:t>
      </w:r>
      <w:r>
        <w:rPr>
          <w:vertAlign w:val="superscript"/>
        </w:rPr>
        <w:t xml:space="preserve">6</w:t>
      </w:r>
      <w:r>
        <w:t xml:space="preserve">细胞 L</w:t>
      </w:r>
      <w:r>
        <w:rPr>
          <w:vertAlign w:val="superscript"/>
        </w:rPr>
        <w:t xml:space="preserve">-1</w:t>
      </w:r>
      <w:r>
        <w:t xml:space="preserve">）和比例（从25.2%减少到12.7%）显著降低。与此同时，MIB浓度持续下降，从HRT调节第3天（4月20日）的22.34 ± 4.4 ng L</w:t>
      </w:r>
      <w:r>
        <w:rPr>
          <w:vertAlign w:val="superscript"/>
        </w:rPr>
        <w:t xml:space="preserve">-1</w:t>
      </w:r>
      <w:r>
        <w:t xml:space="preserve">降至第8天（4月25日）的9.3 ± 2.3 ng L</w:t>
      </w:r>
      <w:r>
        <w:rPr>
          <w:vertAlign w:val="superscript"/>
        </w:rPr>
        <w:t xml:space="preserve">-1</w:t>
      </w:r>
      <w:r>
        <w:t xml:space="preserve">，并且之后保持在10 ng L</w:t>
      </w:r>
      <w:r>
        <w:rPr>
          <w:vertAlign w:val="superscript"/>
        </w:rPr>
        <w:t xml:space="preserve">-1</w:t>
      </w:r>
      <w:r>
        <w:t xml:space="preserve">以下。</w:t>
      </w:r>
    </w:p>
    <w:p>
      <w:pPr>
        <w:pStyle w:val="BodyText"/>
      </w:pPr>
      <w:r>
        <w:t xml:space="preserve">HRT调节前后，浮游植物丰度和MIB浓度之间存在显著差异。chl-</w:t>
      </w:r>
      <w:r>
        <w:rPr>
          <w:i/>
          <w:iCs/>
        </w:rPr>
        <w:t xml:space="preserve">a</w:t>
      </w:r>
      <w:r>
        <w:t xml:space="preserve">从调节前的平均值11.3 ± 14.5 μg L</w:t>
      </w:r>
      <w:r>
        <w:rPr>
          <w:vertAlign w:val="superscript"/>
        </w:rPr>
        <w:t xml:space="preserve">-1</w:t>
      </w:r>
      <w:r>
        <w:t xml:space="preserve">降至调节后的3.7 ± 6.5 μg L</w:t>
      </w:r>
      <w:r>
        <w:rPr>
          <w:vertAlign w:val="superscript"/>
        </w:rPr>
        <w:t xml:space="preserve">-1</w:t>
      </w:r>
      <w:r>
        <w:t xml:space="preserve">（</w:t>
      </w:r>
      <w:r>
        <w:rPr>
          <w:i/>
          <w:iCs/>
        </w:rPr>
        <w:t xml:space="preserve">p</w:t>
      </w:r>
      <w:r>
        <w:t xml:space="preserve">-value = 0.005），尤其是表层和中层（</w:t>
      </w:r>
      <w:r>
        <w:rPr>
          <w:i/>
          <w:iCs/>
        </w:rPr>
        <w:t xml:space="preserve">p</w:t>
      </w:r>
      <w:r>
        <w:t xml:space="preserve">-value &lt; 0.001，</w:t>
      </w:r>
      <w:hyperlink w:anchor="fig-hrtcompare">
        <w:r>
          <w:rPr>
            <w:rStyle w:val="Hyperlink"/>
          </w:rPr>
          <w:t xml:space="preserve">Fig. 5</w:t>
        </w:r>
      </w:hyperlink>
      <w:r>
        <w:t xml:space="preserve">A，Fig. 8B）。两个时期之间MIB浓度的降低也是显著的（从22.2 ± 8.7 ng L</w:t>
      </w:r>
      <w:r>
        <w:rPr>
          <w:vertAlign w:val="superscript"/>
        </w:rPr>
        <w:t xml:space="preserve">-1</w:t>
      </w:r>
      <w:r>
        <w:t xml:space="preserve">降至8.6 ± 3.7 ng L</w:t>
      </w:r>
      <w:r>
        <w:rPr>
          <w:vertAlign w:val="superscript"/>
        </w:rPr>
        <w:t xml:space="preserve">-1</w:t>
      </w:r>
      <w:r>
        <w:t xml:space="preserve">，</w:t>
      </w:r>
      <w:r>
        <w:rPr>
          <w:i/>
          <w:iCs/>
        </w:rPr>
        <w:t xml:space="preserve">p</w:t>
      </w:r>
      <w:r>
        <w:t xml:space="preserve">-value &lt; 0.05，</w:t>
      </w:r>
      <w:hyperlink w:anchor="fig-hrtcompare">
        <w:r>
          <w:rPr>
            <w:rStyle w:val="Hyperlink"/>
          </w:rPr>
          <w:t xml:space="preserve">Fig. 5</w:t>
        </w:r>
      </w:hyperlink>
      <w:r>
        <w:t xml:space="preserve">B）。同时，几个水质参数显著降低，包括氨、pH、盐度、电导率、藻蓝蛋白含量（PC，Fig. 8C）和氧化还原电位（ORP）（</w:t>
      </w:r>
      <w:r>
        <w:rPr>
          <w:i/>
          <w:iCs/>
        </w:rPr>
        <w:t xml:space="preserve">p</w:t>
      </w:r>
      <w:r>
        <w:t xml:space="preserve">-values &lt; 0.001，Table 9）。热层分层减弱（Fig. 8A），TN从 1,563 ± 97 μg L</w:t>
      </w:r>
      <w:r>
        <w:rPr>
          <w:vertAlign w:val="superscript"/>
        </w:rPr>
        <w:t xml:space="preserve">-1</w:t>
      </w:r>
      <w:r>
        <w:t xml:space="preserve"> 增加到 1,664 ± 163 μg L</w:t>
      </w:r>
      <w:r>
        <w:rPr>
          <w:vertAlign w:val="superscript"/>
        </w:rPr>
        <w:t xml:space="preserve">-1</w:t>
      </w:r>
      <w:r>
        <w:t xml:space="preserve"> （</w:t>
      </w:r>
      <w:r>
        <w:rPr>
          <w:i/>
          <w:iCs/>
        </w:rPr>
        <w:t xml:space="preserve">p</w:t>
      </w:r>
      <w:r>
        <w:t xml:space="preserve">-value = 0.0020）。</w:t>
      </w:r>
    </w:p>
    <w:tbl>
      <w:tblPr>
        <w:tblStyle w:val="Table"/>
        <w:tblW w:type="pct" w:w="5000"/>
        <w:tblLayout w:type="fixed"/>
        <w:tblLook w:firstRow="0" w:lastRow="0" w:firstColumn="0" w:lastColumn="0" w:noHBand="0" w:noVBand="0" w:val="0000"/>
      </w:tblPr>
      <w:tblGrid>
        <w:gridCol w:w="7920"/>
      </w:tblGrid>
      <w:tr>
        <w:tc>
          <w:tcPr/>
          <w:bookmarkStart w:id="55" w:name="fig-hrtcompare"/>
          <w:p>
            <w:pPr>
              <w:pStyle w:val="Compact"/>
              <w:jc w:val="center"/>
            </w:pPr>
            <w:r>
              <w:drawing>
                <wp:inline>
                  <wp:extent cx="2301240" cy="995925"/>
                  <wp:effectExtent b="0" l="0" r="0" t="0"/>
                  <wp:docPr descr="" title="" id="53" name="Picture"/>
                  <a:graphic>
                    <a:graphicData uri="http://schemas.openxmlformats.org/drawingml/2006/picture">
                      <pic:pic>
                        <pic:nvPicPr>
                          <pic:cNvPr descr="./figures/hrtcompare.png" id="54" name="Picture"/>
                          <pic:cNvPicPr>
                            <a:picLocks noChangeArrowheads="1" noChangeAspect="1"/>
                          </pic:cNvPicPr>
                        </pic:nvPicPr>
                        <pic:blipFill>
                          <a:blip r:embed="rId52"/>
                          <a:stretch>
                            <a:fillRect/>
                          </a:stretch>
                        </pic:blipFill>
                        <pic:spPr bwMode="auto">
                          <a:xfrm>
                            <a:off x="0" y="0"/>
                            <a:ext cx="2301240" cy="995925"/>
                          </a:xfrm>
                          <a:prstGeom prst="rect">
                            <a:avLst/>
                          </a:prstGeom>
                          <a:noFill/>
                          <a:ln w="9525">
                            <a:noFill/>
                            <a:headEnd/>
                            <a:tailEnd/>
                          </a:ln>
                        </pic:spPr>
                      </pic:pic>
                    </a:graphicData>
                  </a:graphic>
                </wp:inline>
              </w:drawing>
            </w:r>
          </w:p>
          <w:p>
            <w:pPr>
              <w:jc w:val="center"/>
            </w:pPr>
            <w:pPr>
              <w:jc w:val="start"/>
              <w:spacing w:before="200"/>
              <w:pStyle w:val="ImageCaption"/>
            </w:pPr>
            <w:r>
              <w:t xml:space="preserve">Fig. 5 不同层次在水力停留时间（HRT）调控前后叶绿素-</w:t>
            </w:r>
            <w:r>
              <w:rPr>
                <w:i/>
                <w:iCs/>
              </w:rPr>
              <w:t xml:space="preserve">a</w:t>
            </w:r>
            <w:r>
              <w:t xml:space="preserve"> </w:t>
            </w:r>
            <w:r>
              <w:t xml:space="preserve">(A) 和 MIB (B) 的变化（ns，不显著，</w:t>
            </w:r>
            <w:r>
              <w:rPr>
                <w:i/>
                <w:iCs/>
              </w:rPr>
              <w:t xml:space="preserve">p</w:t>
            </w:r>
            <w:r>
              <w:t xml:space="preserve">-值 &gt; 0.05；*，</w:t>
            </w:r>
            <w:r>
              <w:rPr>
                <w:i/>
                <w:iCs/>
              </w:rPr>
              <w:t xml:space="preserve">p</w:t>
            </w:r>
            <w:r>
              <w:t xml:space="preserve">-值 &lt; 0.05；**，</w:t>
            </w:r>
            <w:r>
              <w:rPr>
                <w:i/>
                <w:iCs/>
              </w:rPr>
              <w:t xml:space="preserve">p</w:t>
            </w:r>
            <w:r>
              <w:t xml:space="preserve">-值 &lt; 0.01；***，</w:t>
            </w:r>
            <w:r>
              <w:rPr>
                <w:i/>
                <w:iCs/>
              </w:rPr>
              <w:t xml:space="preserve">p</w:t>
            </w:r>
            <w:r>
              <w:t xml:space="preserve">-值 &lt; 0.001；****，</w:t>
            </w:r>
            <w:r>
              <w:rPr>
                <w:i/>
                <w:iCs/>
              </w:rPr>
              <w:t xml:space="preserve">p</w:t>
            </w:r>
            <w:r>
              <w:t xml:space="preserve">-值 &lt; 0.0001）。</w:t>
            </w:r>
          </w:p>
          <w:bookmarkEnd w:id="55"/>
        </w:tc>
      </w:tr>
    </w:tbl>
    <w:bookmarkEnd w:id="56"/>
    <w:bookmarkEnd w:id="57"/>
    <w:bookmarkStart w:id="60" w:name="讨论"/>
    <w:p>
      <w:pPr>
        <w:pStyle w:val="Heading1"/>
      </w:pPr>
      <w:r>
        <w:t xml:space="preserve">讨论</w:t>
      </w:r>
    </w:p>
    <w:bookmarkStart w:id="58" w:name="水库中mib控制的关键hrt"/>
    <w:p>
      <w:pPr>
        <w:pStyle w:val="Heading2"/>
      </w:pPr>
      <w:r>
        <w:t xml:space="preserve">水库中MIB控制的关键HRT</w:t>
      </w:r>
    </w:p>
    <w:p>
      <w:pPr>
        <w:pStyle w:val="FirstParagraph"/>
      </w:pPr>
      <w:r>
        <w:t xml:space="preserve">通过将细胞增殖率（</w:t>
      </w:r>
      <m:oMath>
        <m:r>
          <m:t>υ</m:t>
        </m:r>
      </m:oMath>
      <w:r>
        <w:t xml:space="preserve">）降至0以下，可以控制和预防恼人的蓝藻群落及其相关的水质问题。因此，可以通过将</w:t>
      </w:r>
      <m:oMath>
        <m:r>
          <m:t>υ</m:t>
        </m:r>
      </m:oMath>
      <w:r>
        <w:t xml:space="preserve">设置为0来定义</w:t>
      </w:r>
      <m:oMath>
        <m:sSubSup>
          <m:e>
            <m:r>
              <m:t>τ</m:t>
            </m:r>
          </m:e>
          <m:sub>
            <m:r>
              <m:t>F</m:t>
            </m:r>
          </m:sub>
          <m:sup>
            <m:r>
              <m:rPr>
                <m:sty m:val="p"/>
              </m:rPr>
              <m:t>*</m:t>
            </m:r>
          </m:sup>
        </m:sSubSup>
      </m:oMath>
      <w:r>
        <w:t xml:space="preserve">，即</w:t>
      </w:r>
      <m:oMath>
        <m:sSub>
          <m:e>
            <m:r>
              <m:t>k</m:t>
            </m:r>
          </m:e>
          <m:sub>
            <m:r>
              <m:t>F</m:t>
            </m:r>
          </m:sub>
        </m:sSub>
        <m:r>
          <m:rPr>
            <m:sty m:val="p"/>
          </m:rPr>
          <m:t>/</m:t>
        </m:r>
        <m:sSub>
          <m:e>
            <m:r>
              <m:t>μ</m:t>
            </m:r>
          </m:e>
          <m:sub>
            <m:r>
              <m:t>s</m:t>
            </m:r>
          </m:sub>
        </m:sSub>
      </m:oMath>
      <w:r>
        <w:t xml:space="preserve">，其中</w:t>
      </w:r>
      <m:oMath>
        <m:sSub>
          <m:e>
            <m:r>
              <m:t>k</m:t>
            </m:r>
          </m:e>
          <m:sub>
            <m:r>
              <m:t>F</m:t>
            </m:r>
          </m:sub>
        </m:sSub>
      </m:oMath>
      <w:r>
        <w:t xml:space="preserve">是水动力调控系数。通过HRT调节控制蓝藻的基础包括两个元素：1）物理稀释以防止细胞积累或生长，以及2）与水力变化的副作用相关的其他物理影响。河流系统的研究发现较短的HRT可以有效减弱水体热层分层，导致增强的垂直混合和更高的水体浑浊度。这种副作用对于蓝藻的控制有潜在的帮助，因为一个混合良好的水柱消除了蓝藻的竞争优势——其气囊的垂直运动，超过其他藻类。此外，挥发性MIB的损失也可能会影响。这些附加效应可以用水力影响系数（</w:t>
      </w:r>
      <m:oMath>
        <m:sSub>
          <m:e>
            <m:r>
              <m:t>k</m:t>
            </m:r>
          </m:e>
          <m:sub>
            <m:r>
              <m:t>F</m:t>
            </m:r>
          </m:sub>
        </m:sSub>
      </m:oMath>
      <w:r>
        <w:t xml:space="preserve">）来表示。根据理论推导，由物理稀释贡献的系数等于1，而其余的（</w:t>
      </w:r>
      <m:oMath>
        <m:sSub>
          <m:e>
            <m:r>
              <m:t>k</m:t>
            </m:r>
          </m:e>
          <m:sub>
            <m:r>
              <m:t>F</m:t>
            </m:r>
          </m:sub>
        </m:sSub>
        <m:r>
          <m:rPr>
            <m:sty m:val="p"/>
          </m:rPr>
          <m:t>−</m:t>
        </m:r>
        <m:r>
          <m:t>1</m:t>
        </m:r>
      </m:oMath>
      <w:r>
        <w:t xml:space="preserve">）由其他影响贡献。</w:t>
      </w:r>
    </w:p>
    <w:p>
      <w:pPr>
        <w:pStyle w:val="BodyText"/>
      </w:pPr>
      <w:r>
        <w:t xml:space="preserve">在这项研究中，通过培养实验确定的</w:t>
      </w:r>
      <m:oMath>
        <m:r>
          <m:t>k</m:t>
        </m:r>
      </m:oMath>
      <w:r>
        <w:t xml:space="preserve">值为1.05 ± 0.141，表明</w:t>
      </w:r>
      <w:r>
        <w:rPr>
          <w:i/>
          <w:iCs/>
        </w:rPr>
        <w:t xml:space="preserve">P. raciborskii</w:t>
      </w:r>
      <w:r>
        <w:t xml:space="preserve">的控制主要是由物理稀释主导的。这也得到了另一项研究的支持，该研究报告了对</w:t>
      </w:r>
      <w:r>
        <w:rPr>
          <w:i/>
          <w:iCs/>
        </w:rPr>
        <w:t xml:space="preserve">Pseudanabaena</w:t>
      </w:r>
      <w:r>
        <w:t xml:space="preserve">生长的干扰效应有限。然而，自然系统中的水力影响系数应该大于1，因为水生环境非常复杂，许多因素与水力条件高度相关（例如MIB的损失）。NP和ZXD水库中的水力影响系数（</w:t>
      </w:r>
      <m:oMath>
        <m:sSub>
          <m:e>
            <m:r>
              <m:t>k</m:t>
            </m:r>
          </m:e>
          <m:sub>
            <m:r>
              <m:t>F</m:t>
            </m:r>
          </m:sub>
        </m:sSub>
      </m:oMath>
      <w:r>
        <w:t xml:space="preserve">）为1.83 ~ 2.07，表明除了物理稀释（48.3 % ~ 54.7 %）外，还有HRT调节的副作用（45.3 % ~ 51.7 %）也有贡献。</w:t>
      </w:r>
    </w:p>
    <w:p>
      <w:pPr>
        <w:pStyle w:val="BodyText"/>
      </w:pPr>
      <w:r>
        <w:t xml:space="preserve">考虑到</w:t>
      </w:r>
      <m:oMath>
        <m:sSub>
          <m:e>
            <m:r>
              <m:t>k</m:t>
            </m:r>
          </m:e>
          <m:sub>
            <m:r>
              <m:t>F</m:t>
            </m:r>
          </m:sub>
        </m:sSub>
      </m:oMath>
      <w:r>
        <w:t xml:space="preserve">是涉及物理稀释率（</w:t>
      </w:r>
      <m:oMath>
        <m:sSub>
          <m:e>
            <m:r>
              <m:t>k</m:t>
            </m:r>
          </m:e>
          <m:sub>
            <m:r>
              <m:t>D</m:t>
            </m:r>
          </m:sub>
        </m:sSub>
        <m:r>
          <m:rPr>
            <m:sty m:val="p"/>
          </m:rPr>
          <m:t>=</m:t>
        </m:r>
        <m:r>
          <m:t>1</m:t>
        </m:r>
      </m:oMath>
      <w:r>
        <w:t xml:space="preserve">）和水力变化的副作用（</w:t>
      </w:r>
      <m:oMath>
        <m:sSub>
          <m:e>
            <m:r>
              <m:t>k</m:t>
            </m:r>
          </m:e>
          <m:sub>
            <m:r>
              <m:t>S</m:t>
            </m:r>
          </m:sub>
        </m:sSub>
        <m:r>
          <m:rPr>
            <m:sty m:val="p"/>
          </m:rPr>
          <m:t>=</m:t>
        </m:r>
        <m:sSub>
          <m:e>
            <m:r>
              <m:t>k</m:t>
            </m:r>
          </m:e>
          <m:sub>
            <m:r>
              <m:t>F</m:t>
            </m:r>
          </m:sub>
        </m:sSub>
        <m:r>
          <m:rPr>
            <m:sty m:val="p"/>
          </m:rPr>
          <m:t>−</m:t>
        </m:r>
        <m:sSub>
          <m:e>
            <m:r>
              <m:t>k</m:t>
            </m:r>
          </m:e>
          <m:sub>
            <m:r>
              <m:t>D</m:t>
            </m:r>
          </m:sub>
        </m:sSub>
      </m:oMath>
      <w:r>
        <w:t xml:space="preserve">）的参数，包括减弱热层分层和增加浑浊度等等，这些副作用也取决于水库特征，如水深、水温、入流特性和水库形态。Yang等人（2020）得出结论，热层分层可能会受到HRT和水深的影响，根据对中国乌江流域八个岩溶水库的调查。水库水体的浑浊度也受水温和入流特性的影响。此外，Van der Molen等人（1995）宣称，水库的混合特性取决于其形态，这决定了蓝藻的控制效果。因此，我们认为对于特定的水库，</w:t>
      </w:r>
      <m:oMath>
        <m:sSub>
          <m:e>
            <m:r>
              <m:t>k</m:t>
            </m:r>
          </m:e>
          <m:sub>
            <m:r>
              <m:t>F</m:t>
            </m:r>
          </m:sub>
        </m:sSub>
      </m:oMath>
      <w:r>
        <w:t xml:space="preserve">几乎是一个常数，并建议在应用于实际水库时调整</w:t>
      </w:r>
      <m:oMath>
        <m:sSub>
          <m:e>
            <m:r>
              <m:t>k</m:t>
            </m:r>
          </m:e>
          <m:sub>
            <m:r>
              <m:t>F</m:t>
            </m:r>
          </m:sub>
        </m:sSub>
      </m:oMath>
      <w:r>
        <w:t xml:space="preserve">。在这项研究中，它是从NP和ZXD水库的MIB事件中估算出来的，我们经验性地建议如果没有具体证据，</w:t>
      </w:r>
      <m:oMath>
        <m:sSub>
          <m:e>
            <m:r>
              <m:t>k</m:t>
            </m:r>
          </m:e>
          <m:sub>
            <m:r>
              <m:t>F</m:t>
            </m:r>
          </m:sub>
        </m:sSub>
      </m:oMath>
      <w:r>
        <w:t xml:space="preserve">可以给出一个1.5 ~ 3.0的范围内的值。</w:t>
      </w:r>
    </w:p>
    <w:p>
      <w:pPr>
        <w:pStyle w:val="BodyText"/>
      </w:pPr>
      <w:r>
        <w:t xml:space="preserve">不同蓝藻属的特定生长率（</w:t>
      </w:r>
      <m:oMath>
        <m:sSub>
          <m:e>
            <m:r>
              <m:t>μ</m:t>
            </m:r>
          </m:e>
          <m:sub>
            <m:r>
              <m:t>s</m:t>
            </m:r>
          </m:sub>
        </m:sSub>
      </m:oMath>
      <w:r>
        <w:t xml:space="preserve">）各不相同，具有较高</w:t>
      </w:r>
      <m:oMath>
        <m:sSub>
          <m:e>
            <m:r>
              <m:t>μ</m:t>
            </m:r>
          </m:e>
          <m:sub>
            <m:r>
              <m:t>s</m:t>
            </m:r>
          </m:sub>
        </m:sSub>
      </m:oMath>
      <w:r>
        <w:t xml:space="preserve">的属需要较短的临界HRT（</w:t>
      </w:r>
      <m:oMath>
        <m:sSubSup>
          <m:e>
            <m:r>
              <m:t>τ</m:t>
            </m:r>
          </m:e>
          <m:sub>
            <m:r>
              <m:t>F</m:t>
            </m:r>
          </m:sub>
          <m:sup>
            <m:r>
              <m:rPr>
                <m:sty m:val="p"/>
              </m:rPr>
              <m:t>*</m:t>
            </m:r>
          </m:sup>
        </m:sSubSup>
      </m:oMath>
      <w:r>
        <w:t xml:space="preserve">）来限制其细胞增殖。然而，蓝藻细胞的生长速率也受到光强、温度、营养等环境因素的影响，因此不同季节或不同水库的临界HRT是不同的。这很可能是导致NP水库两次MIB事件之间临界HRT值（6.7</w:t>
      </w:r>
      <w:r>
        <w:t xml:space="preserve"> </w:t>
      </w:r>
      <m:oMath>
        <m:r>
          <m:t>d</m:t>
        </m:r>
      </m:oMath>
      <w:r>
        <w:t xml:space="preserve">和7.6</w:t>
      </w:r>
      <w:r>
        <w:t xml:space="preserve"> </w:t>
      </w:r>
      <m:oMath>
        <m:r>
          <m:t>d</m:t>
        </m:r>
      </m:oMath>
      <w:r>
        <w:t xml:space="preserve">）之间存在0.9天差异的原因。为简化模型，本研究使用了文献报道的蓝藻属的中位数生长率来计算具有不同</w:t>
      </w:r>
      <m:oMath>
        <m:sSub>
          <m:e>
            <m:r>
              <m:t>k</m:t>
            </m:r>
          </m:e>
          <m:sub>
            <m:r>
              <m:t>F</m:t>
            </m:r>
          </m:sub>
        </m:sSub>
      </m:oMath>
      <w:r>
        <w:t xml:space="preserve">值的临界HRTs（</w:t>
      </w:r>
      <m:oMath>
        <m:sSubSup>
          <m:e>
            <m:r>
              <m:t>τ</m:t>
            </m:r>
          </m:e>
          <m:sub>
            <m:r>
              <m:t>F</m:t>
            </m:r>
          </m:sub>
          <m:sup>
            <m:r>
              <m:rPr>
                <m:sty m:val="p"/>
              </m:rPr>
              <m:t>*</m:t>
            </m:r>
          </m:sup>
        </m:sSubSup>
      </m:oMath>
      <w:r>
        <w:t xml:space="preserve">）。这些值可以为控制饮用水水库中MIB的HRT调节提供一个基础，并且它们也可以帮助理解不同HRT的水体中不同蓝藻群落的组成。然而，尽管我们已经尽力回顾了所有关于典型蓝藻生长速率的文献，但这些生长速率不一定足够准确，可能导致临界HRT值不精确。</w:t>
      </w:r>
    </w:p>
    <w:bookmarkEnd w:id="58"/>
    <w:bookmarkStart w:id="59" w:name="hrt调节在饮用水水库中的应用"/>
    <w:p>
      <w:pPr>
        <w:pStyle w:val="Heading2"/>
      </w:pPr>
      <w:r>
        <w:t xml:space="preserve">HRT调节在饮用水水库中的应用</w:t>
      </w:r>
    </w:p>
    <w:p>
      <w:pPr>
        <w:pStyle w:val="FirstParagraph"/>
      </w:pPr>
      <w:r>
        <w:t xml:space="preserve">比较更为普遍和典型的表面藻类属（如</w:t>
      </w:r>
      <w:r>
        <w:rPr>
          <w:i/>
          <w:iCs/>
        </w:rPr>
        <w:t xml:space="preserve">Microcystis</w:t>
      </w:r>
      <w:r>
        <w:t xml:space="preserve">、</w:t>
      </w:r>
      <w:r>
        <w:rPr>
          <w:i/>
          <w:iCs/>
        </w:rPr>
        <w:t xml:space="preserve">Aphanizomenon</w:t>
      </w:r>
      <w:r>
        <w:t xml:space="preserve">、</w:t>
      </w:r>
      <w:r>
        <w:rPr>
          <w:i/>
          <w:iCs/>
        </w:rPr>
        <w:t xml:space="preserve">Cylindrospermopsis</w:t>
      </w:r>
      <w:r>
        <w:t xml:space="preserve">等）与产生MIB的属的生长潜力是有用的。后者的特定生长率较低（0.09 ~ 0.39 d</w:t>
      </w:r>
      <w:r>
        <w:rPr>
          <w:vertAlign w:val="superscript"/>
        </w:rPr>
        <w:t xml:space="preserve">-1</w:t>
      </w:r>
      <w:r>
        <w:t xml:space="preserve">，见表1），这表明基于较短HRT的调节可能更有效地控制这些产生MIB的属。在此报道的案例中，HRT调节成功地控制了ZXD水库中2021年的MIB问题。在MIB事件期间，根据文献中的69个记录确定了产生MIB的属</w:t>
      </w:r>
      <w:r>
        <w:rPr>
          <w:i/>
          <w:iCs/>
        </w:rPr>
        <w:t xml:space="preserve">Pseudanabaena</w:t>
      </w:r>
      <w:r>
        <w:t xml:space="preserve">的HRT阈值为7.5 ~ 15.0</w:t>
      </w:r>
      <w:r>
        <w:t xml:space="preserve"> </w:t>
      </w:r>
      <m:oMath>
        <m:r>
          <m:t>d</m:t>
        </m:r>
      </m:oMath>
      <w:r>
        <w:t xml:space="preserve">，这比在应用HRT调节之前的ZXD水库的HRT（18.0 ± 2.2</w:t>
      </w:r>
      <w:r>
        <w:t xml:space="preserve"> </w:t>
      </w:r>
      <m:oMath>
        <m:r>
          <m:t>d</m:t>
        </m:r>
      </m:oMath>
      <w:r>
        <w:t xml:space="preserve">）短。相比之下，通过提高4月18日后的流量，HRT降至5.4 ± 0.8</w:t>
      </w:r>
      <w:r>
        <w:t xml:space="preserve"> </w:t>
      </w:r>
      <m:oMath>
        <m:r>
          <m:t>d</m:t>
        </m:r>
      </m:oMath>
      <w:r>
        <w:t xml:space="preserve">，导致</w:t>
      </w:r>
      <w:r>
        <w:rPr>
          <w:i/>
          <w:iCs/>
        </w:rPr>
        <w:t xml:space="preserve">Pseudanabaena</w:t>
      </w:r>
      <w:r>
        <w:t xml:space="preserve">的丰度和MIB浓度显著降低。ZXD水库中拟合的</w:t>
      </w:r>
      <w:r>
        <w:rPr>
          <w:i/>
          <w:iCs/>
        </w:rPr>
        <w:t xml:space="preserve">k</w:t>
      </w:r>
      <w:r>
        <w:t xml:space="preserve">值约为2.03，表明临界HRT为10 ~ 15</w:t>
      </w:r>
      <w:r>
        <w:t xml:space="preserve"> </w:t>
      </w:r>
      <m:oMath>
        <m:r>
          <m:t>d</m:t>
        </m:r>
      </m:oMath>
      <w:r>
        <w:t xml:space="preserve">，与我们经验性地提出的</w:t>
      </w:r>
      <m:oMath>
        <m:sSub>
          <m:e>
            <m:r>
              <m:t>k</m:t>
            </m:r>
          </m:e>
          <m:sub>
            <m:r>
              <m:t>F</m:t>
            </m:r>
          </m:sub>
        </m:sSub>
      </m:oMath>
      <w:r>
        <w:t xml:space="preserve">值（1.5 ~ 3.0）一致。此外，HRT调节后叶绿素-</w:t>
      </w:r>
      <w:r>
        <w:rPr>
          <w:i/>
          <w:iCs/>
        </w:rPr>
        <w:t xml:space="preserve">a</w:t>
      </w:r>
      <w:r>
        <w:t xml:space="preserve">浓度和浮游植物细胞密度也明显下降。这些结果支持HRT调节可用于控制这类恼人的蓝藻及其相关的水质问题。然而，未经专门培养实验确定的</w:t>
      </w:r>
      <w:r>
        <w:rPr>
          <w:i/>
          <w:iCs/>
        </w:rPr>
        <w:t xml:space="preserve">Pseudanabaena</w:t>
      </w:r>
      <w:r>
        <w:t xml:space="preserve">的生长速率可能会导致HRT阈值的不精确评估。</w:t>
      </w:r>
    </w:p>
    <w:p>
      <w:pPr>
        <w:pStyle w:val="BodyText"/>
      </w:pPr>
      <w:r>
        <w:t xml:space="preserve">对水库中控制有害蓝藻的其他策略的研究已经明确表明了其对浮游植物群落结构的影响。Wan等人（2021）发现，疏浚后总磷含量的变化引起了细菌浮游植物群落组成的明显变化。Lusty等人（2020）发现，加入过氧化氢后蓝藻生物量显著减少，但不同属的敏感性不同。Burford等人（2006）指出，人工混合对控制殖生和孤立的细丝藻物种更有效，并促进了对低磷耐受性的物种的生长。相比之下，在本研究中，浮游植物群落结构在HRT调节中没有受到显著影响（</w:t>
      </w:r>
      <w:r>
        <w:rPr>
          <w:i/>
          <w:iCs/>
        </w:rPr>
        <w:t xml:space="preserve">p</w:t>
      </w:r>
      <w:r>
        <w:t xml:space="preserve">-value = 0.072）。HRT调节原则包括物理稀释（</w:t>
      </w:r>
      <m:oMath>
        <m:r>
          <m:t>1</m:t>
        </m:r>
        <m:r>
          <m:rPr>
            <m:sty m:val="p"/>
          </m:rPr>
          <m:t>/</m:t>
        </m:r>
        <m:r>
          <m:t>τ</m:t>
        </m:r>
      </m:oMath>
      <w:r>
        <w:t xml:space="preserve">），对所有属的影响是一致的；而特定生长率在不同属之间有所不同，具有较高生长率和较低临界HRT的典型表面藻类属在较短HRT条件下可能获得生长优势。在ZXD水库中，HRT调节后，</w:t>
      </w:r>
      <w:r>
        <w:rPr>
          <w:i/>
          <w:iCs/>
        </w:rPr>
        <w:t xml:space="preserve">Pseudanabaena</w:t>
      </w:r>
      <w:r>
        <w:t xml:space="preserve">的平均细胞丰度显著减少了65.4%，而一些具有较高生长率的盛花藻属，包括</w:t>
      </w:r>
      <w:r>
        <w:rPr>
          <w:i/>
          <w:iCs/>
        </w:rPr>
        <w:t xml:space="preserve">Aphanizomenon</w:t>
      </w:r>
      <w:r>
        <w:t xml:space="preserve">和</w:t>
      </w:r>
      <w:r>
        <w:rPr>
          <w:i/>
          <w:iCs/>
        </w:rPr>
        <w:t xml:space="preserve">Cylindrospermopsis</w:t>
      </w:r>
      <w:r>
        <w:t xml:space="preserve">，其值相对较低，约为57.8%和38.7%（</w:t>
      </w:r>
      <w:hyperlink w:anchor="fig-zxd">
        <w:r>
          <w:rPr>
            <w:rStyle w:val="Hyperlink"/>
          </w:rPr>
          <w:t xml:space="preserve">Fig. 4</w:t>
        </w:r>
      </w:hyperlink>
      <w:r>
        <w:t xml:space="preserve">B）。因此，通过调节HRT，浮游植物结构可能被调整为更偏好的具有较少有害藻类的群落结构。值得注意的是，基于HRT的调节以控制产生MIB的蓝藻对于小型饮用水水库更为合适，特别是在水系统发达但产生蓝藻源MIB问题频繁的地区，包括中国南部和东南亚等地区。在这些地区，建造了大量的小型水库用于防洪、干旱、供水和灌溉，通过相互水转移降低HRT可以更容易地控制气味。然而，在中型/大型水库中缩短HRT可能会导致显著的水和能源消耗。此外，该策略还受到入流水中气味化合物或其他污染物（营养物质、浮游植物等）含量应低的限制。此外，与较短HRT相关的更高冲洗率更适用于那些浮游蓝藻属的控制，而其他策略（水位和浑浊度调节等）对于具有底栖/深居蓝藻属的水库更为有效。水力调节可能无法处理源水水库中由放线菌等微生物引起的MIB问题，因此需要进一步的研究。</w:t>
      </w:r>
    </w:p>
    <w:bookmarkEnd w:id="59"/>
    <w:bookmarkEnd w:id="60"/>
    <w:bookmarkStart w:id="61" w:name="结论"/>
    <w:p>
      <w:pPr>
        <w:pStyle w:val="Heading1"/>
      </w:pPr>
      <w:r>
        <w:t xml:space="preserve">结论</w:t>
      </w:r>
    </w:p>
    <w:p>
      <w:pPr>
        <w:pStyle w:val="FirstParagraph"/>
      </w:pPr>
      <w:r>
        <w:t xml:space="preserve">这项研究针对中国饮用水水库频繁发生的MIB事件进行了现场调查、实验室培养实验和现场应用。可以得出以下结论：1）HRT增加可能会引发水库中产生MIB气味问题；2）根据对产生MIB的</w:t>
      </w:r>
      <w:r>
        <w:rPr>
          <w:i/>
          <w:iCs/>
        </w:rPr>
        <w:t xml:space="preserve">P. raciborskii</w:t>
      </w:r>
      <w:r>
        <w:t xml:space="preserve">进行的培养实验，最大细胞密度、生长速率和MIB浓度与HRT显著正相关，当HRT小于5天时，生长受到严重抑制；3）开发了一个旨在控制有害蓝藻及相关水质问题的HRT调节模型，并评估了控制典型蓝藻属的关键HRT值；4）通过降低ZXD水库的HRT至临界值以下，成功地应用了HRT调节，导致MIB浓度显著降低。所提出的原则为HRT调节策略提供了科学依据，可用于控制MIB源自的气味问题，这也适用于其他产生MIB的蓝藻的控制。</w:t>
      </w:r>
    </w:p>
    <w:bookmarkEnd w:id="61"/>
    <w:bookmarkStart w:id="62" w:name="declaration-of-competing-interest"/>
    <w:p>
      <w:pPr>
        <w:pStyle w:val="Heading1"/>
      </w:pPr>
      <w:r>
        <w:t xml:space="preserve">Declaration of Competing Interest</w:t>
      </w:r>
    </w:p>
    <w:p>
      <w:pPr>
        <w:pStyle w:val="FirstParagraph"/>
      </w:pPr>
      <w:r>
        <w:t xml:space="preserve">作者声明他们没有已知的竞争性财务利益或个人关系，可能会影响本文报告的工作。</w:t>
      </w:r>
    </w:p>
    <w:bookmarkEnd w:id="62"/>
    <w:bookmarkStart w:id="63" w:name="致谢"/>
    <w:p>
      <w:pPr>
        <w:pStyle w:val="Heading1"/>
      </w:pPr>
      <w:r>
        <w:t xml:space="preserve">致谢</w:t>
      </w:r>
    </w:p>
    <w:p>
      <w:pPr>
        <w:pStyle w:val="FirstParagraph"/>
      </w:pPr>
      <w:r>
        <w:t xml:space="preserve">本工作得到了中国国家自然科学基金（52030002，51878649）、中国重点研发计划（2022YFC3203603）和中国科学院青年创新促进会的财政支持。</w:t>
      </w:r>
    </w:p>
    <w:bookmarkEnd w:id="63"/>
    <w:bookmarkStart w:id="153" w:name="参考文献"/>
    <w:p>
      <w:pPr>
        <w:pStyle w:val="Heading1"/>
      </w:pPr>
      <w:r>
        <w:t xml:space="preserve">参考文献</w:t>
      </w:r>
    </w:p>
    <w:bookmarkStart w:id="152" w:name="refs"/>
    <w:bookmarkStart w:id="65" w:name="ref-anunciacaogomes2015temperature"/>
    <w:p>
      <w:pPr>
        <w:pStyle w:val="Bibliography"/>
      </w:pPr>
      <w:r>
        <w:t xml:space="preserve">Anunciação Gomes, A.M. da, Oliveira e Azevedo, S.M.F. de, Lürling, M., 2015. Temperature effect on exploitation and interference competition among</w:t>
      </w:r>
      <w:r>
        <w:t xml:space="preserve"> </w:t>
      </w:r>
      <w:r>
        <w:rPr>
          <w:i/>
          <w:iCs/>
        </w:rPr>
        <w:t xml:space="preserve">Microcystis aeruginosa</w:t>
      </w:r>
      <w:r>
        <w:t xml:space="preserve">,</w:t>
      </w:r>
      <w:r>
        <w:t xml:space="preserve"> </w:t>
      </w:r>
      <w:r>
        <w:rPr>
          <w:i/>
          <w:iCs/>
        </w:rPr>
        <w:t xml:space="preserve">Planktothrix agardhii</w:t>
      </w:r>
      <w:r>
        <w:t xml:space="preserve"> </w:t>
      </w:r>
      <w:r>
        <w:t xml:space="preserve">and,</w:t>
      </w:r>
      <w:r>
        <w:t xml:space="preserve"> </w:t>
      </w:r>
      <w:r>
        <w:rPr>
          <w:i/>
          <w:iCs/>
        </w:rPr>
        <w:t xml:space="preserve">Cyclotella meneghiniana</w:t>
      </w:r>
      <w:r>
        <w:t xml:space="preserve">. The Scientific World Journal 2015, 1–10.</w:t>
      </w:r>
      <w:r>
        <w:t xml:space="preserve"> </w:t>
      </w:r>
      <w:hyperlink r:id="rId64">
        <w:r>
          <w:rPr>
            <w:rStyle w:val="Hyperlink"/>
          </w:rPr>
          <w:t xml:space="preserve">https://doi.org/10.1155/2015/834197</w:t>
        </w:r>
      </w:hyperlink>
    </w:p>
    <w:bookmarkEnd w:id="65"/>
    <w:bookmarkStart w:id="67" w:name="ref-araujotorres2015assessment"/>
    <w:p>
      <w:pPr>
        <w:pStyle w:val="Bibliography"/>
      </w:pPr>
      <w:r>
        <w:t xml:space="preserve">Araujo Torres, C. de, Lürling, M., Marinho, M.M., 2015. Assessment of the effects of light availability on growth and competition between strains of</w:t>
      </w:r>
      <w:r>
        <w:t xml:space="preserve"> </w:t>
      </w:r>
      <w:r>
        <w:rPr>
          <w:i/>
          <w:iCs/>
        </w:rPr>
        <w:t xml:space="preserve">Planktothrix agardhii</w:t>
      </w:r>
      <w:r>
        <w:t xml:space="preserve"> </w:t>
      </w:r>
      <w:r>
        <w:t xml:space="preserve">and</w:t>
      </w:r>
      <w:r>
        <w:t xml:space="preserve"> </w:t>
      </w:r>
      <w:r>
        <w:rPr>
          <w:i/>
          <w:iCs/>
        </w:rPr>
        <w:t xml:space="preserve">Microcystis aeruginosa</w:t>
      </w:r>
      <w:r>
        <w:t xml:space="preserve">. Microbial Ecology 71, 802–813.</w:t>
      </w:r>
      <w:r>
        <w:t xml:space="preserve"> </w:t>
      </w:r>
      <w:hyperlink r:id="rId66">
        <w:r>
          <w:rPr>
            <w:rStyle w:val="Hyperlink"/>
          </w:rPr>
          <w:t xml:space="preserve">https://doi.org/10.1007/s00248-015-0719-z</w:t>
        </w:r>
      </w:hyperlink>
    </w:p>
    <w:bookmarkEnd w:id="67"/>
    <w:bookmarkStart w:id="69" w:name="ref-cao2023early"/>
    <w:p>
      <w:pPr>
        <w:pStyle w:val="Bibliography"/>
      </w:pPr>
      <w:r>
        <w:t xml:space="preserve">Cao, T., Fang, J., Jia, Z., Zhu, Y., Su, M., Zhang, Q., Song, Y., Yu, J., Yang, M., 2023. Early warning of MIB episode based on gene abundance and expression in drinking water reservoirs. Water Research 231, 119667. https://doi.org/</w:t>
      </w:r>
      <w:hyperlink r:id="rId68">
        <w:r>
          <w:rPr>
            <w:rStyle w:val="Hyperlink"/>
          </w:rPr>
          <w:t xml:space="preserve">https://doi.org/10.1016/j.watres.2023.119667</w:t>
        </w:r>
      </w:hyperlink>
    </w:p>
    <w:bookmarkEnd w:id="69"/>
    <w:bookmarkStart w:id="71" w:name="ref-cha2017the"/>
    <w:p>
      <w:pPr>
        <w:pStyle w:val="Bibliography"/>
      </w:pPr>
      <w:r>
        <w:t xml:space="preserve">Cha, Y., Cho, K.H., Lee, H., Kang, T., Kim, J.H., 2017. The relative importance of water temperature and residence time in predicting cyanobacteria abundance in regulated rivers. Water Research 124, 11–19.</w:t>
      </w:r>
      <w:r>
        <w:t xml:space="preserve"> </w:t>
      </w:r>
      <w:hyperlink r:id="rId70">
        <w:r>
          <w:rPr>
            <w:rStyle w:val="Hyperlink"/>
          </w:rPr>
          <w:t xml:space="preserve">https://doi.org/10.1016/j.watres.2017.07.040</w:t>
        </w:r>
      </w:hyperlink>
    </w:p>
    <w:bookmarkEnd w:id="71"/>
    <w:bookmarkStart w:id="73" w:name="ref-everall1997identification"/>
    <w:p>
      <w:pPr>
        <w:pStyle w:val="Bibliography"/>
      </w:pPr>
      <w:r>
        <w:t xml:space="preserve">Everall, N.c., Lees, D.r., 1997. The identification and significance of chemicals released from decomposing barley straw during reservoir algal control. Water Research 31, 614–620.</w:t>
      </w:r>
      <w:r>
        <w:t xml:space="preserve"> </w:t>
      </w:r>
      <w:hyperlink r:id="rId72">
        <w:r>
          <w:rPr>
            <w:rStyle w:val="Hyperlink"/>
          </w:rPr>
          <w:t xml:space="preserve">https://doi.org/10.1016/s0043-1354(96)00291-6</w:t>
        </w:r>
      </w:hyperlink>
    </w:p>
    <w:bookmarkEnd w:id="73"/>
    <w:bookmarkStart w:id="75" w:name="ref-fastner2015combating"/>
    <w:p>
      <w:pPr>
        <w:pStyle w:val="Bibliography"/>
      </w:pPr>
      <w:r>
        <w:t xml:space="preserve">Fastner, J., Abella, S., Litt, A., Morabito, G., Vörös, L., Pálffy, K., Straile, D., Kümmerlin, R., Matthews, D., Phillips, M.G., Chorus, I., 2015. Combating cyanobacterial proliferation by avoiding or treating inflows with high p load experiences from eight case studies. Aquatic Ecology 50, 367–383.</w:t>
      </w:r>
      <w:r>
        <w:t xml:space="preserve"> </w:t>
      </w:r>
      <w:hyperlink r:id="rId74">
        <w:r>
          <w:rPr>
            <w:rStyle w:val="Hyperlink"/>
          </w:rPr>
          <w:t xml:space="preserve">https://doi.org/10.1007/s10452-015-9558-8</w:t>
        </w:r>
      </w:hyperlink>
    </w:p>
    <w:bookmarkEnd w:id="75"/>
    <w:bookmarkStart w:id="77" w:name="ref-gerber1983volatile"/>
    <w:p>
      <w:pPr>
        <w:pStyle w:val="Bibliography"/>
      </w:pPr>
      <w:r>
        <w:t xml:space="preserve">Gerber, N.N., 1983. Volatile substances from actinomycetes: Their role in the odor pollution of water. Water Science and Technology 15, 115–125.</w:t>
      </w:r>
      <w:r>
        <w:t xml:space="preserve"> </w:t>
      </w:r>
      <w:hyperlink r:id="rId76">
        <w:r>
          <w:rPr>
            <w:rStyle w:val="Hyperlink"/>
          </w:rPr>
          <w:t xml:space="preserve">https://doi.org/10.2166/wst.1983.0136</w:t>
        </w:r>
      </w:hyperlink>
    </w:p>
    <w:bookmarkEnd w:id="77"/>
    <w:bookmarkStart w:id="79" w:name="ref-gillogly1999a"/>
    <w:p>
      <w:pPr>
        <w:pStyle w:val="Bibliography"/>
      </w:pPr>
      <w:r>
        <w:t xml:space="preserve">Gillogly, T.E.T., Snoeyink, V.L., Newcombe, G., Elarde, J.R., 1999. A simplified method to determine the powdered activated carbon dose required to remove methylisoborneol. Water Science and Technology 40, 59–64.</w:t>
      </w:r>
      <w:r>
        <w:t xml:space="preserve"> </w:t>
      </w:r>
      <w:hyperlink r:id="rId78">
        <w:r>
          <w:rPr>
            <w:rStyle w:val="Hyperlink"/>
          </w:rPr>
          <w:t xml:space="preserve">https://doi.org/10.1016/S0273-1223(99)00538-7</w:t>
        </w:r>
      </w:hyperlink>
    </w:p>
    <w:bookmarkEnd w:id="79"/>
    <w:bookmarkStart w:id="81" w:name="ref-greenfield2014the"/>
    <w:p>
      <w:pPr>
        <w:pStyle w:val="Bibliography"/>
      </w:pPr>
      <w:r>
        <w:t xml:space="preserve">Greenfield, D.I., Duquette, A., Goodson, A., Keppler, C.J., Williams, S.H., Brock, L.M., Stackley, K.D., White, D., Wilde, S.B., 2014. The effects of three chemical algaecides on cell numbers and toxin content of the cyanobacteria</w:t>
      </w:r>
      <w:r>
        <w:t xml:space="preserve"> </w:t>
      </w:r>
      <w:r>
        <w:rPr>
          <w:i/>
          <w:iCs/>
        </w:rPr>
        <w:t xml:space="preserve">Microcystis aeruginosa</w:t>
      </w:r>
      <w:r>
        <w:t xml:space="preserve"> </w:t>
      </w:r>
      <w:r>
        <w:t xml:space="preserve">and</w:t>
      </w:r>
      <w:r>
        <w:t xml:space="preserve"> </w:t>
      </w:r>
      <w:r>
        <w:rPr>
          <w:i/>
          <w:iCs/>
        </w:rPr>
        <w:t xml:space="preserve">Anabaenopsis</w:t>
      </w:r>
      <w:r>
        <w:t xml:space="preserve"> </w:t>
      </w:r>
      <w:r>
        <w:t xml:space="preserve">sp. Environmental Management 54, 1110–1120.</w:t>
      </w:r>
      <w:r>
        <w:t xml:space="preserve"> </w:t>
      </w:r>
      <w:hyperlink r:id="rId80">
        <w:r>
          <w:rPr>
            <w:rStyle w:val="Hyperlink"/>
          </w:rPr>
          <w:t xml:space="preserve">https://doi.org/10.1007/s00267-014-0339-2</w:t>
        </w:r>
      </w:hyperlink>
    </w:p>
    <w:bookmarkEnd w:id="81"/>
    <w:bookmarkStart w:id="83" w:name="ref-halstvedt2007seasonal"/>
    <w:p>
      <w:pPr>
        <w:pStyle w:val="Bibliography"/>
      </w:pPr>
      <w:r>
        <w:t xml:space="preserve">Halstvedt, C.B., Rohrlack, T., Andersen, T., Skulberg, O., Edvardsen, B., 2007. Seasonal dynamics and depth distribution of</w:t>
      </w:r>
      <w:r>
        <w:t xml:space="preserve"> </w:t>
      </w:r>
      <w:r>
        <w:rPr>
          <w:i/>
          <w:iCs/>
        </w:rPr>
        <w:t xml:space="preserve">Planktothrix</w:t>
      </w:r>
      <w:r>
        <w:t xml:space="preserve"> </w:t>
      </w:r>
      <w:r>
        <w:t xml:space="preserve">spp. In</w:t>
      </w:r>
      <w:r>
        <w:t xml:space="preserve"> </w:t>
      </w:r>
      <w:r>
        <w:t xml:space="preserve">Lake Steinsfjorden (Norway)</w:t>
      </w:r>
      <w:r>
        <w:t xml:space="preserve"> </w:t>
      </w:r>
      <w:r>
        <w:t xml:space="preserve">related to environmental factors. Journal of Plankton Research 29, 471–482.</w:t>
      </w:r>
      <w:r>
        <w:t xml:space="preserve"> </w:t>
      </w:r>
      <w:hyperlink r:id="rId82">
        <w:r>
          <w:rPr>
            <w:rStyle w:val="Hyperlink"/>
          </w:rPr>
          <w:t xml:space="preserve">https://doi.org/10.1093/plankt/fbm036</w:t>
        </w:r>
      </w:hyperlink>
    </w:p>
    <w:bookmarkEnd w:id="83"/>
    <w:bookmarkStart w:id="85" w:name="ref-huang2020identifying"/>
    <w:p>
      <w:pPr>
        <w:pStyle w:val="Bibliography"/>
      </w:pPr>
      <w:r>
        <w:t xml:space="preserve">Huang, X., Shi, B., Hao, H., Su, Y., Wu, B., Jia, Z., Wang, C., Wang, Q., Yang, M., Yu, J., 2020. Identifying the function of activated carbon surface chemical properties in the removability of two common odor compounds. Water Research 178, 115797.</w:t>
      </w:r>
      <w:r>
        <w:t xml:space="preserve"> </w:t>
      </w:r>
      <w:hyperlink r:id="rId84">
        <w:r>
          <w:rPr>
            <w:rStyle w:val="Hyperlink"/>
          </w:rPr>
          <w:t xml:space="preserve">https://doi.org/10.1016/j.watres.2020.115797</w:t>
        </w:r>
      </w:hyperlink>
    </w:p>
    <w:bookmarkEnd w:id="85"/>
    <w:bookmarkStart w:id="87" w:name="ref-huisman2018cyanobacterial"/>
    <w:p>
      <w:pPr>
        <w:pStyle w:val="Bibliography"/>
      </w:pPr>
      <w:r>
        <w:t xml:space="preserve">Huisman, J., Codd, G.A., Paerl, H.W., Ibelings, B.W., Verspagen, J.M.H., Visser, P.M., 2018. Cyanobacterial blooms. Nature Reviews Microbiology 16, 471–483.</w:t>
      </w:r>
      <w:r>
        <w:t xml:space="preserve"> </w:t>
      </w:r>
      <w:hyperlink r:id="rId86">
        <w:r>
          <w:rPr>
            <w:rStyle w:val="Hyperlink"/>
          </w:rPr>
          <w:t xml:space="preserve">https://doi.org/10.1038/s41579-018-0040-1</w:t>
        </w:r>
      </w:hyperlink>
    </w:p>
    <w:bookmarkEnd w:id="87"/>
    <w:bookmarkStart w:id="89" w:name="ref-izaguirre2007benthic"/>
    <w:p>
      <w:pPr>
        <w:pStyle w:val="Bibliography"/>
      </w:pPr>
      <w:r>
        <w:t xml:space="preserve">Izaguirre, G., Jungblut, A., Neilan, B.A., 2007. Benthic cyanobacteria (oscillatoriaceae) that produce microcystin-</w:t>
      </w:r>
      <w:r>
        <w:t xml:space="preserve">LR</w:t>
      </w:r>
      <w:r>
        <w:t xml:space="preserve">, isolated from four reservoirs in</w:t>
      </w:r>
      <w:r>
        <w:t xml:space="preserve"> </w:t>
      </w:r>
      <w:r>
        <w:t xml:space="preserve">Southern California</w:t>
      </w:r>
      <w:r>
        <w:t xml:space="preserve">. Water Research 41, 492–498.</w:t>
      </w:r>
      <w:r>
        <w:t xml:space="preserve"> </w:t>
      </w:r>
      <w:hyperlink r:id="rId88">
        <w:r>
          <w:rPr>
            <w:rStyle w:val="Hyperlink"/>
          </w:rPr>
          <w:t xml:space="preserve">https://doi.org/10.1016/j.watres.2006.10.012</w:t>
        </w:r>
      </w:hyperlink>
    </w:p>
    <w:bookmarkEnd w:id="89"/>
    <w:bookmarkStart w:id="91" w:name="ref-izaguirre2004guide"/>
    <w:p>
      <w:pPr>
        <w:pStyle w:val="Bibliography"/>
      </w:pPr>
      <w:r>
        <w:t xml:space="preserve">Izaguirre, G., Taylor, W.d., 2004.</w:t>
      </w:r>
      <w:r>
        <w:t xml:space="preserve"> </w:t>
      </w:r>
      <w:hyperlink r:id="rId90">
        <w:r>
          <w:rPr>
            <w:rStyle w:val="Hyperlink"/>
          </w:rPr>
          <w:t xml:space="preserve">A guide to geosmin- and</w:t>
        </w:r>
        <w:r>
          <w:rPr>
            <w:rStyle w:val="Hyperlink"/>
          </w:rPr>
          <w:t xml:space="preserve"> </w:t>
        </w:r>
        <w:r>
          <w:rPr>
            <w:rStyle w:val="Hyperlink"/>
          </w:rPr>
          <w:t xml:space="preserve">MIB</w:t>
        </w:r>
        <w:r>
          <w:rPr>
            <w:rStyle w:val="Hyperlink"/>
          </w:rPr>
          <w:t xml:space="preserve">-producing cyanobacteria in the</w:t>
        </w:r>
        <w:r>
          <w:rPr>
            <w:rStyle w:val="Hyperlink"/>
          </w:rPr>
          <w:t xml:space="preserve"> </w:t>
        </w:r>
        <w:r>
          <w:rPr>
            <w:rStyle w:val="Hyperlink"/>
          </w:rPr>
          <w:t xml:space="preserve">United States</w:t>
        </w:r>
      </w:hyperlink>
      <w:r>
        <w:t xml:space="preserve">. Water Science and Technology 49, 19–24.</w:t>
      </w:r>
    </w:p>
    <w:bookmarkEnd w:id="91"/>
    <w:bookmarkStart w:id="93" w:name="ref-jeppesen2005lakeresponses"/>
    <w:p>
      <w:pPr>
        <w:pStyle w:val="Bibliography"/>
      </w:pPr>
      <w:r>
        <w:t xml:space="preserve">Jeppesen, E., Søndergaard, M., Jensen, J.P., Havens, K.E., Anneville, O., Carvalho, L., Coveney, M.F., Deneke, R., Dokulil, M.T., Foy, B., others, 2005. Lake responses to reduced nutrient loading–an analysis of contemporary long-term data from 35 case studies. Freshwater biology 50, 1747–1771. https://doi.org/</w:t>
      </w:r>
      <w:hyperlink r:id="rId92">
        <w:r>
          <w:rPr>
            <w:rStyle w:val="Hyperlink"/>
          </w:rPr>
          <w:t xml:space="preserve">https://doi.org/10.1111/j.1365-2427.2005.01415.x</w:t>
        </w:r>
      </w:hyperlink>
    </w:p>
    <w:bookmarkEnd w:id="93"/>
    <w:bookmarkStart w:id="95" w:name="ref-jia2019light"/>
    <w:p>
      <w:pPr>
        <w:pStyle w:val="Bibliography"/>
      </w:pPr>
      <w:r>
        <w:t xml:space="preserve">Jia, Z., Su, M., Liu, T., Guo, Q., Wang, Q., Burch, M., Yu, J., Yang, M., 2019. Light as a possible regulator of</w:t>
      </w:r>
      <w:r>
        <w:t xml:space="preserve"> </w:t>
      </w:r>
      <w:r>
        <w:t xml:space="preserve">MIB</w:t>
      </w:r>
      <w:r>
        <w:t xml:space="preserve">-producing</w:t>
      </w:r>
      <w:r>
        <w:t xml:space="preserve"> </w:t>
      </w:r>
      <w:r>
        <w:rPr>
          <w:i/>
          <w:iCs/>
        </w:rPr>
        <w:t xml:space="preserve">Planktothrix</w:t>
      </w:r>
      <w:r>
        <w:t xml:space="preserve"> </w:t>
      </w:r>
      <w:r>
        <w:t xml:space="preserve">in source water reservoir, mechanism and</w:t>
      </w:r>
      <w:r>
        <w:t xml:space="preserve"> </w:t>
      </w:r>
      <w:r>
        <w:rPr>
          <w:i/>
          <w:iCs/>
        </w:rPr>
        <w:t xml:space="preserve">in-situ</w:t>
      </w:r>
      <w:r>
        <w:t xml:space="preserve"> </w:t>
      </w:r>
      <w:r>
        <w:t xml:space="preserve">verification. Harmful Algae 88, 101658.</w:t>
      </w:r>
      <w:r>
        <w:t xml:space="preserve"> </w:t>
      </w:r>
      <w:hyperlink r:id="rId94">
        <w:r>
          <w:rPr>
            <w:rStyle w:val="Hyperlink"/>
          </w:rPr>
          <w:t xml:space="preserve">https://doi.org/10.1016/j.hal.2019.101658</w:t>
        </w:r>
      </w:hyperlink>
    </w:p>
    <w:bookmarkEnd w:id="95"/>
    <w:bookmarkStart w:id="97" w:name="ref-juttner2007biochemical"/>
    <w:p>
      <w:pPr>
        <w:pStyle w:val="Bibliography"/>
      </w:pPr>
      <w:r>
        <w:t xml:space="preserve">Jüttner, F., Watson, S.B., 2007. Biochemical and ecological control of geosmin and 2-methylisoborneol in source waters. Applied and Environmental Microbiology 73, 4395–4406.</w:t>
      </w:r>
      <w:r>
        <w:t xml:space="preserve"> </w:t>
      </w:r>
      <w:hyperlink r:id="rId96">
        <w:r>
          <w:rPr>
            <w:rStyle w:val="Hyperlink"/>
          </w:rPr>
          <w:t xml:space="preserve">https://doi.org/10.1128/aem.02250-06</w:t>
        </w:r>
      </w:hyperlink>
    </w:p>
    <w:bookmarkEnd w:id="97"/>
    <w:bookmarkStart w:id="99" w:name="ref-kibuye2021a"/>
    <w:p>
      <w:pPr>
        <w:pStyle w:val="Bibliography"/>
      </w:pPr>
      <w:r>
        <w:t xml:space="preserve">Kibuye, F.A., Zamyadi, A., Wert, E.C., 2021. A critical review on operation and performance of source water control strategies for cyanobacterial blooms: Part i-chemical control methods. Harmful Algae 109, 102099.</w:t>
      </w:r>
      <w:r>
        <w:t xml:space="preserve"> </w:t>
      </w:r>
      <w:hyperlink r:id="rId98">
        <w:r>
          <w:rPr>
            <w:rStyle w:val="Hyperlink"/>
          </w:rPr>
          <w:t xml:space="preserve">https://doi.org/10.1016/j.hal.2021.102099</w:t>
        </w:r>
      </w:hyperlink>
    </w:p>
    <w:bookmarkEnd w:id="99"/>
    <w:bookmarkStart w:id="101" w:name="ref-li2019variation"/>
    <w:p>
      <w:pPr>
        <w:pStyle w:val="Bibliography"/>
      </w:pPr>
      <w:r>
        <w:t xml:space="preserve">Li, L., Yang, S., Yu, S., Zhang, Y., 2019. Variation and removal of 2-</w:t>
      </w:r>
      <w:r>
        <w:t xml:space="preserve">MIB</w:t>
      </w:r>
      <w:r>
        <w:t xml:space="preserve"> </w:t>
      </w:r>
      <w:r>
        <w:t xml:space="preserve">in full-scale treatment plants with source water from</w:t>
      </w:r>
      <w:r>
        <w:t xml:space="preserve"> </w:t>
      </w:r>
      <w:r>
        <w:t xml:space="preserve">Lake Tai</w:t>
      </w:r>
      <w:r>
        <w:t xml:space="preserve">,</w:t>
      </w:r>
      <w:r>
        <w:t xml:space="preserve"> </w:t>
      </w:r>
      <w:r>
        <w:t xml:space="preserve">China</w:t>
      </w:r>
      <w:r>
        <w:t xml:space="preserve">. Water Research 162, 180–189.</w:t>
      </w:r>
      <w:r>
        <w:t xml:space="preserve"> </w:t>
      </w:r>
      <w:hyperlink r:id="rId100">
        <w:r>
          <w:rPr>
            <w:rStyle w:val="Hyperlink"/>
          </w:rPr>
          <w:t xml:space="preserve">https://doi.org/10.1016/j.watres.2019.06.066</w:t>
        </w:r>
      </w:hyperlink>
    </w:p>
    <w:bookmarkEnd w:id="101"/>
    <w:bookmarkStart w:id="103" w:name="ref-li2012earthy"/>
    <w:p>
      <w:pPr>
        <w:pStyle w:val="Bibliography"/>
      </w:pPr>
      <w:r>
        <w:t xml:space="preserve">Li, Z., Hobson, P., An, W., Burch, M.D., House, J., Yang, M., 2012. Earthy odor compounds production and loss in three cyanobacterial cultures. Water Research 46, 5165–5173.</w:t>
      </w:r>
      <w:r>
        <w:t xml:space="preserve"> </w:t>
      </w:r>
      <w:hyperlink r:id="rId102">
        <w:r>
          <w:rPr>
            <w:rStyle w:val="Hyperlink"/>
          </w:rPr>
          <w:t xml:space="preserve">https://doi.org/10.1016/j.watres.2012.06.008</w:t>
        </w:r>
      </w:hyperlink>
    </w:p>
    <w:bookmarkEnd w:id="103"/>
    <w:bookmarkStart w:id="105" w:name="ref-lu2022driving"/>
    <w:p>
      <w:pPr>
        <w:pStyle w:val="Bibliography"/>
      </w:pPr>
      <w:r>
        <w:t xml:space="preserve">Lu, J., Su, M., Su, Y., Wu, B., Cao, T., Fang, J., Yu, J., Zhang, H., Yang, M., 2022. Driving forces for the growth of MIB-producing</w:t>
      </w:r>
      <w:r>
        <w:t xml:space="preserve"> </w:t>
      </w:r>
      <w:r>
        <w:rPr>
          <w:i/>
          <w:iCs/>
        </w:rPr>
        <w:t xml:space="preserve">Planktothricoides raciborskii</w:t>
      </w:r>
      <w:r>
        <w:t xml:space="preserve"> </w:t>
      </w:r>
      <w:r>
        <w:t xml:space="preserve">in a low-latitude reservoir. Water Research 118670.</w:t>
      </w:r>
      <w:r>
        <w:t xml:space="preserve"> </w:t>
      </w:r>
      <w:hyperlink r:id="rId104">
        <w:r>
          <w:rPr>
            <w:rStyle w:val="Hyperlink"/>
          </w:rPr>
          <w:t xml:space="preserve">https://doi.org/10.1016/j.watres.2022.118670</w:t>
        </w:r>
      </w:hyperlink>
    </w:p>
    <w:bookmarkEnd w:id="105"/>
    <w:bookmarkStart w:id="107" w:name="ref-mitrovic2011use"/>
    <w:p>
      <w:pPr>
        <w:pStyle w:val="Bibliography"/>
      </w:pPr>
      <w:r>
        <w:t xml:space="preserve">Mitrovic, S.M., Hardwick, L., Dorani, F., 2011. Use of flow management to mitigate cyanobacterial blooms in the</w:t>
      </w:r>
      <w:r>
        <w:t xml:space="preserve"> </w:t>
      </w:r>
      <w:r>
        <w:t xml:space="preserve">Lower Darling River, Australia</w:t>
      </w:r>
      <w:r>
        <w:t xml:space="preserve">. Journal of Plankton Research 33, 229–241.</w:t>
      </w:r>
      <w:r>
        <w:t xml:space="preserve"> </w:t>
      </w:r>
      <w:hyperlink r:id="rId106">
        <w:r>
          <w:rPr>
            <w:rStyle w:val="Hyperlink"/>
          </w:rPr>
          <w:t xml:space="preserve">https://doi.org/10.1093/plankt/fbq094</w:t>
        </w:r>
      </w:hyperlink>
    </w:p>
    <w:bookmarkEnd w:id="107"/>
    <w:bookmarkStart w:id="109" w:name="ref-mitrovic2003critical"/>
    <w:p>
      <w:pPr>
        <w:pStyle w:val="Bibliography"/>
      </w:pPr>
      <w:r>
        <w:t xml:space="preserve">Mitrovic, S.M., Oliver, R.L., Rees, C., Bowling, L.C., Buckney, R.T., 2003. Critical flow velocities for the growth and dominance of</w:t>
      </w:r>
      <w:r>
        <w:t xml:space="preserve"> </w:t>
      </w:r>
      <w:r>
        <w:rPr>
          <w:i/>
          <w:iCs/>
        </w:rPr>
        <w:t xml:space="preserve">Anabaena circinalis</w:t>
      </w:r>
      <w:r>
        <w:t xml:space="preserve"> </w:t>
      </w:r>
      <w:r>
        <w:t xml:space="preserve">in some turbid freshwater rivers. Freshwater Biology 48, 164–174.</w:t>
      </w:r>
      <w:r>
        <w:t xml:space="preserve"> </w:t>
      </w:r>
      <w:hyperlink r:id="rId108">
        <w:r>
          <w:rPr>
            <w:rStyle w:val="Hyperlink"/>
          </w:rPr>
          <w:t xml:space="preserve">https://doi.org/10.1046/j.1365-2427.2003.00957.x</w:t>
        </w:r>
      </w:hyperlink>
    </w:p>
    <w:bookmarkEnd w:id="109"/>
    <w:bookmarkStart w:id="110" w:name="ref-newcombe2012international"/>
    <w:p>
      <w:pPr>
        <w:pStyle w:val="Bibliography"/>
      </w:pPr>
      <w:r>
        <w:t xml:space="preserve">Newcombe, G., 2012. International guidance manual for the management of toxic cyanobacteria.</w:t>
      </w:r>
      <w:r>
        <w:t xml:space="preserve"> </w:t>
      </w:r>
      <w:r>
        <w:t xml:space="preserve">IWA</w:t>
      </w:r>
      <w:r>
        <w:t xml:space="preserve"> </w:t>
      </w:r>
      <w:r>
        <w:t xml:space="preserve">Publishing.</w:t>
      </w:r>
    </w:p>
    <w:bookmarkEnd w:id="110"/>
    <w:bookmarkStart w:id="112" w:name="ref-romo2012water"/>
    <w:p>
      <w:pPr>
        <w:pStyle w:val="Bibliography"/>
      </w:pPr>
      <w:r>
        <w:t xml:space="preserve">Romo, S., Soria, J., Fernández, F., Ouahid, Y., Barón-Solá, Ángel, 2012. Water residence time and the dynamics of toxic cyanobacteria. Freshwater Biology 58, 513–522.</w:t>
      </w:r>
      <w:r>
        <w:t xml:space="preserve"> </w:t>
      </w:r>
      <w:hyperlink r:id="rId111">
        <w:r>
          <w:rPr>
            <w:rStyle w:val="Hyperlink"/>
          </w:rPr>
          <w:t xml:space="preserve">https://doi.org/10.1111/j.1365-2427.2012.02734.x</w:t>
        </w:r>
      </w:hyperlink>
    </w:p>
    <w:bookmarkEnd w:id="112"/>
    <w:bookmarkStart w:id="114" w:name="ref-su2014importance"/>
    <w:p>
      <w:pPr>
        <w:pStyle w:val="Bibliography"/>
      </w:pPr>
      <w:r>
        <w:t xml:space="preserve">Su, M., An, W., Yu, J., Pan, S., Yang, M., 2014. Importance of underwater light field in selecting phytoplankton morphology in a eutrophic reservoir. Hydrobiologia 724, 203–216.</w:t>
      </w:r>
      <w:r>
        <w:t xml:space="preserve"> </w:t>
      </w:r>
      <w:hyperlink r:id="rId113">
        <w:r>
          <w:rPr>
            <w:rStyle w:val="Hyperlink"/>
          </w:rPr>
          <w:t xml:space="preserve">https://doi.org/10.1007/s10750-013-1734-z</w:t>
        </w:r>
      </w:hyperlink>
    </w:p>
    <w:bookmarkEnd w:id="114"/>
    <w:bookmarkStart w:id="116" w:name="ref-su2019succession"/>
    <w:p>
      <w:pPr>
        <w:pStyle w:val="Bibliography"/>
      </w:pPr>
      <w:r>
        <w:t xml:space="preserve">Su, M., Andersen, T., Burch, M., Jia, Z., An, W., Yu, J., Yang, M., 2019. Succession and interaction of surface and subsurface cyanobacterial blooms in oligotrophic/mesotrophic reservoirs: A case study in</w:t>
      </w:r>
      <w:r>
        <w:t xml:space="preserve"> </w:t>
      </w:r>
      <w:r>
        <w:t xml:space="preserve">Miyun Reservoir</w:t>
      </w:r>
      <w:r>
        <w:t xml:space="preserve">. Science of the Total Environment 649, 1553–1562.</w:t>
      </w:r>
      <w:r>
        <w:t xml:space="preserve"> </w:t>
      </w:r>
      <w:hyperlink r:id="rId115">
        <w:r>
          <w:rPr>
            <w:rStyle w:val="Hyperlink"/>
          </w:rPr>
          <w:t xml:space="preserve">https://doi.org/J.scitotenv.2018.08.307</w:t>
        </w:r>
      </w:hyperlink>
    </w:p>
    <w:bookmarkEnd w:id="116"/>
    <w:bookmarkStart w:id="118" w:name="ref-su2023biosynthesis"/>
    <w:p>
      <w:pPr>
        <w:pStyle w:val="Bibliography"/>
      </w:pPr>
      <w:r>
        <w:t xml:space="preserve">Su, M., Fang, J., Jia, Z., Su, Y., Zhu, Y., Wu, B., Little, J.C., Yu, J., Yang, M., 2023. Biosynthesis of 2-methylisoborneol is regulated by chromatic acclimation of</w:t>
      </w:r>
      <w:r>
        <w:t xml:space="preserve"> </w:t>
      </w:r>
      <w:r>
        <w:rPr>
          <w:i/>
          <w:iCs/>
        </w:rPr>
        <w:t xml:space="preserve">Pseudanabaena</w:t>
      </w:r>
      <w:r>
        <w:t xml:space="preserve">. Environmental Research 221, 115260.</w:t>
      </w:r>
      <w:r>
        <w:t xml:space="preserve"> </w:t>
      </w:r>
      <w:hyperlink r:id="rId117">
        <w:r>
          <w:rPr>
            <w:rStyle w:val="Hyperlink"/>
          </w:rPr>
          <w:t xml:space="preserve">https://doi.org/10.1016/j.envres.2023.115260</w:t>
        </w:r>
      </w:hyperlink>
    </w:p>
    <w:bookmarkEnd w:id="118"/>
    <w:bookmarkStart w:id="120" w:name="ref-su2017reducing"/>
    <w:p>
      <w:pPr>
        <w:pStyle w:val="Bibliography"/>
      </w:pPr>
      <w:r>
        <w:t xml:space="preserve">Su, M., Jia, D., Yu, J., Vogt, R.D., Wang, J., An, W., Yang, M., 2017. Reducing production of taste and odor by deep-living cyanobacteria in drinking water reservoirs by regulation of water level. Science of the Total Environment 574, 1477–1483.</w:t>
      </w:r>
      <w:r>
        <w:t xml:space="preserve"> </w:t>
      </w:r>
      <w:hyperlink r:id="rId119">
        <w:r>
          <w:rPr>
            <w:rStyle w:val="Hyperlink"/>
          </w:rPr>
          <w:t xml:space="preserve">https://doi.org/10.1016/j.scitotenv.2016.08.134</w:t>
        </w:r>
      </w:hyperlink>
    </w:p>
    <w:bookmarkEnd w:id="120"/>
    <w:bookmarkStart w:id="122" w:name="ref-su2021ecological"/>
    <w:p>
      <w:pPr>
        <w:pStyle w:val="Bibliography"/>
      </w:pPr>
      <w:r>
        <w:t xml:space="preserve">Su, M., Suruzzaman, MD., Zhu, Y., Lu, J., Yu, J., Zhang, Y., Yang, M., 2021. Ecological niche and in-situ control of</w:t>
      </w:r>
      <w:r>
        <w:t xml:space="preserve"> </w:t>
      </w:r>
      <w:r>
        <w:t xml:space="preserve">MIB</w:t>
      </w:r>
      <w:r>
        <w:t xml:space="preserve"> </w:t>
      </w:r>
      <w:r>
        <w:t xml:space="preserve">producers in source water. Journal of Environmental Sciences 110, 119–128.</w:t>
      </w:r>
      <w:r>
        <w:t xml:space="preserve"> </w:t>
      </w:r>
      <w:hyperlink r:id="rId121">
        <w:r>
          <w:rPr>
            <w:rStyle w:val="Hyperlink"/>
          </w:rPr>
          <w:t xml:space="preserve">https://doi.org/10.1016/j.jes.2021.03.026</w:t>
        </w:r>
      </w:hyperlink>
    </w:p>
    <w:bookmarkEnd w:id="122"/>
    <w:bookmarkStart w:id="124" w:name="ref-su2015mib"/>
    <w:p>
      <w:pPr>
        <w:pStyle w:val="Bibliography"/>
      </w:pPr>
      <w:r>
        <w:t xml:space="preserve">Su, M., Yu, J., Zhang, J., Chen, H., An, W., Vogt, R.D., Andersen, T., Jia, D., Wang, J., Yang, M., 2015.</w:t>
      </w:r>
      <w:r>
        <w:t xml:space="preserve"> </w:t>
      </w:r>
      <w:r>
        <w:t xml:space="preserve">MIB</w:t>
      </w:r>
      <w:r>
        <w:t xml:space="preserve">-producing cyanobacteria (</w:t>
      </w:r>
      <w:r>
        <w:rPr>
          <w:i/>
          <w:iCs/>
        </w:rPr>
        <w:t xml:space="preserve">Planktothrix</w:t>
      </w:r>
      <w:r>
        <w:t xml:space="preserve"> </w:t>
      </w:r>
      <w:r>
        <w:t xml:space="preserve">sp.) in a drinking water reservoir: Distribution and odor producing potential. Water Research 68, 444–453.</w:t>
      </w:r>
      <w:r>
        <w:t xml:space="preserve"> </w:t>
      </w:r>
      <w:hyperlink r:id="rId123">
        <w:r>
          <w:rPr>
            <w:rStyle w:val="Hyperlink"/>
          </w:rPr>
          <w:t xml:space="preserve">https://doi.org/10.1016/j.watres.2014.09.038</w:t>
        </w:r>
      </w:hyperlink>
    </w:p>
    <w:bookmarkEnd w:id="124"/>
    <w:bookmarkStart w:id="126" w:name="ref-su2022lightdominated"/>
    <w:p>
      <w:pPr>
        <w:pStyle w:val="Bibliography"/>
      </w:pPr>
      <w:r>
        <w:t xml:space="preserve">Su, M., Zhu, Y., Andersen, T., Wang, X., Yu, Z., Lu, J., Song, Y., Cao, T., Yu, J., Zhang, Y., Yang, M., 2022. Light-dominated selection shaping filamentous cyanobacterial assemblages drives odor problem in a drinking water reservoir. npj Clean Water 5, 37.</w:t>
      </w:r>
      <w:r>
        <w:t xml:space="preserve"> </w:t>
      </w:r>
      <w:hyperlink r:id="rId125">
        <w:r>
          <w:rPr>
            <w:rStyle w:val="Hyperlink"/>
          </w:rPr>
          <w:t xml:space="preserve">https://doi.org/10.1038/s41545-022-00181-2</w:t>
        </w:r>
      </w:hyperlink>
    </w:p>
    <w:bookmarkEnd w:id="126"/>
    <w:bookmarkStart w:id="128" w:name="ref-te2017relationship"/>
    <w:p>
      <w:pPr>
        <w:pStyle w:val="Bibliography"/>
      </w:pPr>
      <w:r>
        <w:t xml:space="preserve">Te, S.H., Tan, B.F., Thompson, J.R., Gin, K.Y.-H., 2017. Relationship of microbiota and cyanobacterial secondary metabolites in</w:t>
      </w:r>
      <w:r>
        <w:t xml:space="preserve"> </w:t>
      </w:r>
      <w:r>
        <w:rPr>
          <w:i/>
          <w:iCs/>
        </w:rPr>
        <w:t xml:space="preserve">Planktothricoides</w:t>
      </w:r>
      <w:r>
        <w:t xml:space="preserve">-dominated bloom. Environmental Science &amp; Technology 51, 4199–4209.</w:t>
      </w:r>
      <w:r>
        <w:t xml:space="preserve"> </w:t>
      </w:r>
      <w:hyperlink r:id="rId127">
        <w:r>
          <w:rPr>
            <w:rStyle w:val="Hyperlink"/>
          </w:rPr>
          <w:t xml:space="preserve">https://doi.org/10.1021/acs.est.6b05767</w:t>
        </w:r>
      </w:hyperlink>
    </w:p>
    <w:bookmarkEnd w:id="128"/>
    <w:bookmarkStart w:id="130" w:name="ref-vanderploeg1995biology"/>
    <w:p>
      <w:pPr>
        <w:pStyle w:val="Bibliography"/>
      </w:pPr>
      <w:r>
        <w:t xml:space="preserve">Van Der Ploeg, M., Dennis, M., De Regt, M., 1995. Biology of</w:t>
      </w:r>
      <w:r>
        <w:t xml:space="preserve"> </w:t>
      </w:r>
      <w:r>
        <w:rPr>
          <w:i/>
          <w:iCs/>
        </w:rPr>
        <w:t xml:space="preserve">Oscillatoria chalybea</w:t>
      </w:r>
      <w:r>
        <w:t xml:space="preserve">, a 2-methylisoborneol producing blue-green alga of</w:t>
      </w:r>
      <w:r>
        <w:t xml:space="preserve"> </w:t>
      </w:r>
      <w:r>
        <w:t xml:space="preserve">Mississippi Catfish Ponds</w:t>
      </w:r>
      <w:r>
        <w:t xml:space="preserve">. Water Science and Technology 31, 173–180.</w:t>
      </w:r>
      <w:r>
        <w:t xml:space="preserve"> </w:t>
      </w:r>
      <w:hyperlink r:id="rId129">
        <w:r>
          <w:rPr>
            <w:rStyle w:val="Hyperlink"/>
          </w:rPr>
          <w:t xml:space="preserve">https://doi.org/10.1016/0273-1223(95)00473-Z</w:t>
        </w:r>
      </w:hyperlink>
    </w:p>
    <w:bookmarkEnd w:id="130"/>
    <w:bookmarkStart w:id="132" w:name="ref-verspagen2006water"/>
    <w:p>
      <w:pPr>
        <w:pStyle w:val="Bibliography"/>
      </w:pPr>
      <w:r>
        <w:t xml:space="preserve">Verspagen, J.M.H., Passarge, J., Jöhnk, K.D., Visser, P.M., Peperzak, L., Boers, P., Laanbroek, H.J., Huisman, J., 2006. Water management strategies against toxic</w:t>
      </w:r>
      <w:r>
        <w:t xml:space="preserve"> </w:t>
      </w:r>
      <w:r>
        <w:rPr>
          <w:i/>
          <w:iCs/>
        </w:rPr>
        <w:t xml:space="preserve">Microcystis</w:t>
      </w:r>
      <w:r>
        <w:t xml:space="preserve"> </w:t>
      </w:r>
      <w:r>
        <w:t xml:space="preserve">blooms in the</w:t>
      </w:r>
      <w:r>
        <w:t xml:space="preserve"> </w:t>
      </w:r>
      <w:r>
        <w:t xml:space="preserve">Dutch Delta</w:t>
      </w:r>
      <w:r>
        <w:t xml:space="preserve">. Ecological Applications 16, 313–327.</w:t>
      </w:r>
      <w:r>
        <w:t xml:space="preserve"> </w:t>
      </w:r>
      <w:hyperlink r:id="rId131">
        <w:r>
          <w:rPr>
            <w:rStyle w:val="Hyperlink"/>
          </w:rPr>
          <w:t xml:space="preserve">https://doi.org/10.1890/04-1953</w:t>
        </w:r>
      </w:hyperlink>
    </w:p>
    <w:bookmarkEnd w:id="132"/>
    <w:bookmarkStart w:id="134" w:name="ref-visser1996artificial"/>
    <w:p>
      <w:pPr>
        <w:pStyle w:val="Bibliography"/>
      </w:pPr>
      <w:r>
        <w:t xml:space="preserve">Visser, P., Ibelings, B., Van Der Veer, B., Koedood, J., Mur, R., 1996. Artificial mixing prevents nuisance blooms of the cyanobacterium</w:t>
      </w:r>
      <w:r>
        <w:t xml:space="preserve"> </w:t>
      </w:r>
      <w:r>
        <w:rPr>
          <w:i/>
          <w:iCs/>
        </w:rPr>
        <w:t xml:space="preserve">Microcystis</w:t>
      </w:r>
      <w:r>
        <w:t xml:space="preserve"> </w:t>
      </w:r>
      <w:r>
        <w:t xml:space="preserve">in</w:t>
      </w:r>
      <w:r>
        <w:t xml:space="preserve"> </w:t>
      </w:r>
      <w:r>
        <w:t xml:space="preserve">Lake Nieuwe Meer</w:t>
      </w:r>
      <w:r>
        <w:t xml:space="preserve">, the</w:t>
      </w:r>
      <w:r>
        <w:t xml:space="preserve"> </w:t>
      </w:r>
      <w:r>
        <w:t xml:space="preserve">Netherlands</w:t>
      </w:r>
      <w:r>
        <w:t xml:space="preserve">. Freshwater Biology 36, 435–450.</w:t>
      </w:r>
      <w:r>
        <w:t xml:space="preserve"> </w:t>
      </w:r>
      <w:hyperlink r:id="rId133">
        <w:r>
          <w:rPr>
            <w:rStyle w:val="Hyperlink"/>
          </w:rPr>
          <w:t xml:space="preserve">https://doi.org/10.1046/j.1365-2427.1996.00093.x</w:t>
        </w:r>
      </w:hyperlink>
    </w:p>
    <w:bookmarkEnd w:id="134"/>
    <w:bookmarkStart w:id="136" w:name="ref-visser2016artificial"/>
    <w:p>
      <w:pPr>
        <w:pStyle w:val="Bibliography"/>
      </w:pPr>
      <w:r>
        <w:t xml:space="preserve">Visser, P.M., Ibelings, B.W., Bormans, M., Huisman, J., 2016. Artificial mixing to control cyanobacterial blooms: A review. Aquatic Ecology 50, 423–441.</w:t>
      </w:r>
      <w:r>
        <w:t xml:space="preserve"> </w:t>
      </w:r>
      <w:hyperlink r:id="rId135">
        <w:r>
          <w:rPr>
            <w:rStyle w:val="Hyperlink"/>
          </w:rPr>
          <w:t xml:space="preserve">https://doi.org/10.1007/s10452-015-9537-0</w:t>
        </w:r>
      </w:hyperlink>
    </w:p>
    <w:bookmarkEnd w:id="136"/>
    <w:bookmarkStart w:id="138" w:name="ref-wang2020projecting"/>
    <w:p>
      <w:pPr>
        <w:pStyle w:val="Bibliography"/>
      </w:pPr>
      <w:r>
        <w:t xml:space="preserve">Wang, Q., Zietzschmann, F., Yu, J., Hofman, R., An, W., Yang, M., Rietveld, L.C., 2020. Projecting competition between 2-methylisoborneol and natural organic matter in adsorption onto activated carbon from ozonated source waters. Water Research 173, 115574.</w:t>
      </w:r>
      <w:r>
        <w:t xml:space="preserve"> </w:t>
      </w:r>
      <w:hyperlink r:id="rId137">
        <w:r>
          <w:rPr>
            <w:rStyle w:val="Hyperlink"/>
          </w:rPr>
          <w:t xml:space="preserve">https://doi.org/10.1016/j.watres.2020.115574</w:t>
        </w:r>
      </w:hyperlink>
    </w:p>
    <w:bookmarkEnd w:id="138"/>
    <w:bookmarkStart w:id="140" w:name="ref-watson2004aquatic"/>
    <w:p>
      <w:pPr>
        <w:pStyle w:val="Bibliography"/>
      </w:pPr>
      <w:r>
        <w:t xml:space="preserve">Watson, S.B., 2004. Aquatic taste and odor: A primary signal of drinking-water integrity. Journal of Toxicology and Environmental Health, Part A 67, 1779–1795.</w:t>
      </w:r>
      <w:r>
        <w:t xml:space="preserve"> </w:t>
      </w:r>
      <w:hyperlink r:id="rId139">
        <w:r>
          <w:rPr>
            <w:rStyle w:val="Hyperlink"/>
          </w:rPr>
          <w:t xml:space="preserve">https://doi.org/10.1080/15287390490492377</w:t>
        </w:r>
      </w:hyperlink>
    </w:p>
    <w:bookmarkEnd w:id="140"/>
    <w:bookmarkStart w:id="142" w:name="ref-watson2003cyanobacterial"/>
    <w:p>
      <w:pPr>
        <w:pStyle w:val="Bibliography"/>
      </w:pPr>
      <w:r>
        <w:t xml:space="preserve">Watson, S.B., 2003. Cyanobacterial and eukaryotic algal odour compounds: Signals or by-products? A review of their biological activity. Phycologia 42, 332–350.</w:t>
      </w:r>
      <w:r>
        <w:t xml:space="preserve"> </w:t>
      </w:r>
      <w:hyperlink r:id="rId141">
        <w:r>
          <w:rPr>
            <w:rStyle w:val="Hyperlink"/>
          </w:rPr>
          <w:t xml:space="preserve">https://doi.org/10.2216/i0031-8884-42-4-332.1</w:t>
        </w:r>
      </w:hyperlink>
    </w:p>
    <w:bookmarkEnd w:id="142"/>
    <w:bookmarkStart w:id="144" w:name="ref-wiltbank2019diverse"/>
    <w:p>
      <w:pPr>
        <w:pStyle w:val="Bibliography"/>
      </w:pPr>
      <w:r>
        <w:t xml:space="preserve">Wiltbank, L.B., Kehoe, D.M., 2019. Diverse light responses of cyanobacteria mediated by phytochrome superfamily photoreceptors. Nature Reviews Microbiology 17, 37–50.</w:t>
      </w:r>
      <w:r>
        <w:t xml:space="preserve"> </w:t>
      </w:r>
      <w:hyperlink r:id="rId143">
        <w:r>
          <w:rPr>
            <w:rStyle w:val="Hyperlink"/>
          </w:rPr>
          <w:t xml:space="preserve">https://doi.org/10.1038/s41579-018-0110-4</w:t>
        </w:r>
      </w:hyperlink>
    </w:p>
    <w:bookmarkEnd w:id="144"/>
    <w:bookmarkStart w:id="145" w:name="ref-xu2020common"/>
    <w:p>
      <w:pPr>
        <w:pStyle w:val="Bibliography"/>
      </w:pPr>
      <w:r>
        <w:t xml:space="preserve">Xu, Y., Xiao, L., Yang, Y., 2020. Common phytoplankton species in</w:t>
      </w:r>
      <w:r>
        <w:t xml:space="preserve"> </w:t>
      </w:r>
      <w:r>
        <w:t xml:space="preserve">Zhuhai Reservoirs</w:t>
      </w:r>
      <w:r>
        <w:t xml:space="preserve">. Jinan University Press.</w:t>
      </w:r>
    </w:p>
    <w:bookmarkEnd w:id="145"/>
    <w:bookmarkStart w:id="147" w:name="ref-yang2023impact"/>
    <w:p>
      <w:pPr>
        <w:pStyle w:val="Bibliography"/>
      </w:pPr>
      <w:r>
        <w:t xml:space="preserve">Yang, C., Shen, X., Shi, X., Cui, Z., Nan, J., Lu, H., Li, J., Huang, Q., 2023. Impact of submerged macrophytes on growth and 2-</w:t>
      </w:r>
      <w:r>
        <w:t xml:space="preserve">MIB</w:t>
      </w:r>
      <w:r>
        <w:t xml:space="preserve"> </w:t>
      </w:r>
      <w:r>
        <w:t xml:space="preserve">release risk of</w:t>
      </w:r>
      <w:r>
        <w:t xml:space="preserve"> </w:t>
      </w:r>
      <w:r>
        <w:rPr>
          <w:i/>
          <w:iCs/>
        </w:rPr>
        <w:t xml:space="preserve">Pseudanabaena</w:t>
      </w:r>
      <w:r>
        <w:t xml:space="preserve"> </w:t>
      </w:r>
      <w:r>
        <w:t xml:space="preserve">sp.: From field monitoringa to cultural experiments. Journal of Hazardous Materials 442, 130052.</w:t>
      </w:r>
      <w:r>
        <w:t xml:space="preserve"> </w:t>
      </w:r>
      <w:hyperlink r:id="rId146">
        <w:r>
          <w:rPr>
            <w:rStyle w:val="Hyperlink"/>
          </w:rPr>
          <w:t xml:space="preserve">https://doi.org/10.1016/j.jhazmat.2022.130052</w:t>
        </w:r>
      </w:hyperlink>
    </w:p>
    <w:bookmarkEnd w:id="147"/>
    <w:bookmarkStart w:id="149" w:name="ref-zamyadi2015fate"/>
    <w:p>
      <w:pPr>
        <w:pStyle w:val="Bibliography"/>
      </w:pPr>
      <w:r>
        <w:t xml:space="preserve">Zamyadi, A., Henderson, R., Stuetz, R., Hofmann, R., Ho, L., Newcombe, G., 2015. Fate of geosmin and 2-methylisoborneol in full-scale water treatment plants. Water Research 83, 171–183.</w:t>
      </w:r>
      <w:r>
        <w:t xml:space="preserve"> </w:t>
      </w:r>
      <w:hyperlink r:id="rId148">
        <w:r>
          <w:rPr>
            <w:rStyle w:val="Hyperlink"/>
          </w:rPr>
          <w:t xml:space="preserve">https://doi.org/10.1016/j.watres.2015.06.038</w:t>
        </w:r>
      </w:hyperlink>
    </w:p>
    <w:bookmarkEnd w:id="149"/>
    <w:bookmarkStart w:id="151" w:name="ref-zhang2016methylisoborneol"/>
    <w:p>
      <w:pPr>
        <w:pStyle w:val="Bibliography"/>
      </w:pPr>
      <w:r>
        <w:t xml:space="preserve">Zhang, T., Zheng, L., Li, L., Song, L., 2016. 2-methylisoborneol production characteristics of</w:t>
      </w:r>
      <w:r>
        <w:t xml:space="preserve"> </w:t>
      </w:r>
      <w:r>
        <w:rPr>
          <w:i/>
          <w:iCs/>
        </w:rPr>
        <w:t xml:space="preserve">Pseudanabaena</w:t>
      </w:r>
      <w:r>
        <w:t xml:space="preserve"> </w:t>
      </w:r>
      <w:r>
        <w:t xml:space="preserve">sp.</w:t>
      </w:r>
      <w:r>
        <w:t xml:space="preserve"> </w:t>
      </w:r>
      <w:r>
        <w:t xml:space="preserve">FACHB 1277</w:t>
      </w:r>
      <w:r>
        <w:t xml:space="preserve"> </w:t>
      </w:r>
      <w:r>
        <w:t xml:space="preserve">isolated from</w:t>
      </w:r>
      <w:r>
        <w:t xml:space="preserve"> </w:t>
      </w:r>
      <w:r>
        <w:t xml:space="preserve">Xionghe Reservoir</w:t>
      </w:r>
      <w:r>
        <w:t xml:space="preserve">,</w:t>
      </w:r>
      <w:r>
        <w:t xml:space="preserve"> </w:t>
      </w:r>
      <w:r>
        <w:t xml:space="preserve">China</w:t>
      </w:r>
      <w:r>
        <w:t xml:space="preserve">. Journal of Applied Phycology 1–10.</w:t>
      </w:r>
      <w:r>
        <w:t xml:space="preserve"> </w:t>
      </w:r>
      <w:hyperlink r:id="rId150">
        <w:r>
          <w:rPr>
            <w:rStyle w:val="Hyperlink"/>
          </w:rPr>
          <w:t xml:space="preserve">https://doi.org/10.1007/s10811-016-0864-x</w:t>
        </w:r>
      </w:hyperlink>
    </w:p>
    <w:bookmarkEnd w:id="151"/>
    <w:bookmarkEnd w:id="152"/>
    <w:bookmarkEnd w:id="153"/>
    <w:sectPr w:rsidR="00C83DEB" w:rsidRPr="009A350C" w:rsidSect="00D34A99">
      <w:type w:val="continuous"/>
      <w:pgSz w:h="16848" w:w="11952"/>
      <w:pgMar w:bottom="1440" w:footer="720" w:gutter="720" w:header="720" w:left="1440" w:right="1440" w:top="1440"/>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17A2F78A"/>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35BCE13A"/>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17ACA35A"/>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305208BC"/>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538C7DB2"/>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520CF04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E05CA96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91027A6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6DB2BCF6"/>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985C7762"/>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CEBA96"/>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ECD0910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00A99421"/>
    <w:multiLevelType w:val="multilevel"/>
    <w:tmpl w:val="3592AE20"/>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2AAB1796"/>
    <w:multiLevelType w:val="multilevel"/>
    <w:tmpl w:val="F7E0EDFA"/>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4">
    <w:nsid w:val="2C1AE401"/>
    <w:multiLevelType w:val="multilevel"/>
    <w:tmpl w:val="EB5024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647003809" w:numId="1">
    <w:abstractNumId w:val="14"/>
  </w:num>
  <w:num w16cid:durableId="1050769522" w:numId="2">
    <w:abstractNumId w:val="1"/>
  </w:num>
  <w:num w16cid:durableId="691146791" w:numId="3">
    <w:abstractNumId w:val="2"/>
  </w:num>
  <w:num w16cid:durableId="1840848626" w:numId="4">
    <w:abstractNumId w:val="3"/>
  </w:num>
  <w:num w16cid:durableId="979381040" w:numId="5">
    <w:abstractNumId w:val="4"/>
  </w:num>
  <w:num w16cid:durableId="1339770353" w:numId="6">
    <w:abstractNumId w:val="9"/>
  </w:num>
  <w:num w16cid:durableId="1869879009" w:numId="7">
    <w:abstractNumId w:val="5"/>
  </w:num>
  <w:num w16cid:durableId="958805246" w:numId="8">
    <w:abstractNumId w:val="6"/>
  </w:num>
  <w:num w16cid:durableId="1871726544" w:numId="9">
    <w:abstractNumId w:val="7"/>
  </w:num>
  <w:num w16cid:durableId="1443769426" w:numId="10">
    <w:abstractNumId w:val="8"/>
  </w:num>
  <w:num w16cid:durableId="2133476877" w:numId="11">
    <w:abstractNumId w:val="10"/>
  </w:num>
  <w:num w16cid:durableId="1658653764" w:numId="12">
    <w:abstractNumId w:val="13"/>
  </w:num>
  <w:num w16cid:durableId="1291326281" w:numId="13">
    <w:abstractNumId w:val="14"/>
  </w:num>
  <w:num w16cid:durableId="455566639" w:numId="14">
    <w:abstractNumId w:val="0"/>
  </w:num>
  <w:num w16cid:durableId="1123501441" w:numId="15">
    <w:abstractNumId w:val="0"/>
  </w:num>
  <w:num w16cid:durableId="1713111372" w:numId="16">
    <w:abstractNumId w:val="14"/>
  </w:num>
  <w:num w16cid:durableId="633413296" w:numId="17">
    <w:abstractNumId w:val="14"/>
  </w:num>
  <w:num w16cid:durableId="727605067" w:numId="18">
    <w:abstractNumId w:val="0"/>
  </w:num>
  <w:num w16cid:durableId="790052878" w:numId="19">
    <w:abstractNumId w:val="0"/>
  </w:num>
  <w:num w16cid:durableId="1687557063" w:numId="20">
    <w:abstractNumId w:val="0"/>
  </w:num>
  <w:num w16cid:durableId="1615483120" w:numId="21">
    <w:abstractNumId w:val="14"/>
  </w:num>
  <w:num w16cid:durableId="1942569766" w:numId="22">
    <w:abstractNumId w:val="14"/>
  </w:num>
  <w:num w16cid:durableId="1205798551" w:numId="23">
    <w:abstractNumId w:val="11"/>
  </w:num>
  <w:num w16cid:durableId="647243311"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64794324" w:numId="25">
    <w:abstractNumId w:val="11"/>
  </w:num>
  <w:num w16cid:durableId="1211453382" w:numId="26">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EB"/>
    <w:rsid w:val="009A350C"/>
    <w:rsid w:val="00BF0311"/>
    <w:rsid w:val="00C83DEB"/>
  </w:rsids>
  <w:themeFontLang w:eastAsia="zh-CN"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475C52"/>
    <w:pPr>
      <w:spacing w:after="240" w:before="120" w:line="480" w:lineRule="auto"/>
      <w:ind w:firstLine="397"/>
      <w:jc w:val="both"/>
    </w:pPr>
    <w:rPr>
      <w:rFonts w:ascii="Calibri" w:eastAsiaTheme="minorEastAsia" w:hAnsi="Calibri"/>
    </w:rPr>
  </w:style>
  <w:style w:styleId="Heading1" w:type="paragraph">
    <w:name w:val="heading 1"/>
    <w:basedOn w:val="Normal"/>
    <w:next w:val="BodyText"/>
    <w:uiPriority w:val="9"/>
    <w:qFormat/>
    <w:rsid w:val="009F1910"/>
    <w:pPr>
      <w:keepNext/>
      <w:keepLines/>
      <w:numPr>
        <w:numId w:val="12"/>
      </w:numPr>
      <w:spacing w:after="0" w:line="240" w:lineRule="auto"/>
      <w:ind w:firstLine="0" w:left="0"/>
      <w:outlineLvl w:val="0"/>
    </w:pPr>
    <w:rPr>
      <w:rFonts w:asciiTheme="majorHAnsi" w:cstheme="majorBidi" w:eastAsiaTheme="majorEastAsia" w:hAnsiTheme="majorHAnsi"/>
      <w:b/>
      <w:bCs/>
      <w:sz w:val="32"/>
      <w:szCs w:val="32"/>
    </w:rPr>
  </w:style>
  <w:style w:styleId="Heading2" w:type="paragraph">
    <w:name w:val="heading 2"/>
    <w:basedOn w:val="Normal"/>
    <w:next w:val="BodyText"/>
    <w:autoRedefine/>
    <w:uiPriority w:val="9"/>
    <w:unhideWhenUsed/>
    <w:qFormat/>
    <w:rsid w:val="009F1910"/>
    <w:pPr>
      <w:keepNext/>
      <w:keepLines/>
      <w:numPr>
        <w:ilvl w:val="1"/>
        <w:numId w:val="12"/>
      </w:numPr>
      <w:spacing w:after="120" w:line="240" w:lineRule="auto"/>
      <w:ind w:firstLine="0" w:left="0"/>
      <w:outlineLvl w:val="1"/>
    </w:pPr>
    <w:rPr>
      <w:rFonts w:asciiTheme="majorHAnsi" w:cstheme="majorBidi" w:eastAsiaTheme="majorEastAsia" w:hAnsiTheme="majorHAnsi"/>
      <w:b/>
      <w:bCs/>
      <w:sz w:val="28"/>
      <w:szCs w:val="28"/>
    </w:rPr>
  </w:style>
  <w:style w:styleId="Heading3" w:type="paragraph">
    <w:name w:val="heading 3"/>
    <w:basedOn w:val="Normal"/>
    <w:next w:val="BodyText"/>
    <w:uiPriority w:val="9"/>
    <w:unhideWhenUsed/>
    <w:qFormat/>
    <w:rsid w:val="00357B8B"/>
    <w:pPr>
      <w:keepNext/>
      <w:keepLines/>
      <w:numPr>
        <w:ilvl w:val="2"/>
        <w:numId w:val="12"/>
      </w:numPr>
      <w:spacing w:after="0" w:before="200"/>
      <w:outlineLvl w:val="2"/>
    </w:pPr>
    <w:rPr>
      <w:rFonts w:asciiTheme="majorHAnsi" w:cstheme="majorBidi" w:eastAsiaTheme="majorEastAsia" w:hAnsiTheme="majorHAnsi"/>
      <w:b/>
      <w:bCs/>
    </w:rPr>
  </w:style>
  <w:style w:styleId="Heading4" w:type="paragraph">
    <w:name w:val="heading 4"/>
    <w:basedOn w:val="Normal"/>
    <w:next w:val="BodyText"/>
    <w:uiPriority w:val="9"/>
    <w:unhideWhenUsed/>
    <w:qFormat/>
    <w:pPr>
      <w:keepNext/>
      <w:keepLines/>
      <w:numPr>
        <w:ilvl w:val="3"/>
        <w:numId w:val="12"/>
      </w:numPr>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numPr>
        <w:ilvl w:val="4"/>
        <w:numId w:val="12"/>
      </w:numPr>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numPr>
        <w:ilvl w:val="5"/>
        <w:numId w:val="12"/>
      </w:numPr>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numPr>
        <w:ilvl w:val="6"/>
        <w:numId w:val="12"/>
      </w:numPr>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numPr>
        <w:ilvl w:val="7"/>
        <w:numId w:val="12"/>
      </w:numPr>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numPr>
        <w:ilvl w:val="8"/>
        <w:numId w:val="12"/>
      </w:numPr>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475C52"/>
    <w:pPr>
      <w:spacing w:after="180" w:before="180"/>
    </w:pPr>
  </w:style>
  <w:style w:customStyle="1" w:styleId="FirstParagraph" w:type="paragraph">
    <w:name w:val="First Paragraph"/>
    <w:basedOn w:val="BodyText"/>
    <w:next w:val="BodyText"/>
    <w:autoRedefine/>
    <w:qFormat/>
    <w:rsid w:val="001D0787"/>
    <w:pPr>
      <w:spacing w:after="120" w:before="240"/>
    </w:pPr>
  </w:style>
  <w:style w:customStyle="1" w:styleId="Compact" w:type="paragraph">
    <w:name w:val="Compact"/>
    <w:basedOn w:val="BodyText"/>
    <w:autoRedefine/>
    <w:qFormat/>
    <w:rsid w:val="00684FFA"/>
    <w:pPr>
      <w:spacing w:after="0" w:before="0"/>
      <w:ind w:firstLine="0"/>
      <w:jc w:val="left"/>
    </w:pPr>
  </w:style>
  <w:style w:styleId="Title" w:type="paragraph">
    <w:name w:val="Title"/>
    <w:basedOn w:val="Normal"/>
    <w:next w:val="BodyText"/>
    <w:qFormat/>
    <w:rsid w:val="009F1910"/>
    <w:pPr>
      <w:keepNext/>
      <w:keepLines/>
      <w:spacing w:after="120" w:before="240" w:line="240" w:lineRule="auto"/>
      <w:ind w:firstLine="0"/>
      <w:jc w:val="center"/>
    </w:pPr>
    <w:rPr>
      <w:rFonts w:asciiTheme="majorHAnsi" w:cstheme="majorBidi" w:eastAsiaTheme="majorEastAsia" w:hAnsiTheme="majorHAnsi"/>
      <w:b/>
      <w:bCs/>
      <w:sz w:val="32"/>
      <w:szCs w:val="36"/>
    </w:rPr>
  </w:style>
  <w:style w:styleId="Subtitle" w:type="paragraph">
    <w:name w:val="Subtitle"/>
    <w:basedOn w:val="Title"/>
    <w:next w:val="BodyText"/>
    <w:qFormat/>
    <w:rsid w:val="004659FD"/>
    <w:pPr>
      <w:spacing w:after="240"/>
    </w:pPr>
    <w:rPr>
      <w:sz w:val="28"/>
      <w:szCs w:val="30"/>
    </w:rPr>
  </w:style>
  <w:style w:customStyle="1" w:styleId="Author" w:type="paragraph">
    <w:name w:val="Author"/>
    <w:next w:val="BodyText"/>
    <w:qFormat/>
    <w:rsid w:val="009F1910"/>
    <w:pPr>
      <w:keepNext/>
      <w:keepLines/>
      <w:jc w:val="center"/>
    </w:pPr>
    <w:rPr>
      <w:sz w:val="21"/>
    </w:rPr>
  </w:style>
  <w:style w:styleId="Date" w:type="paragraph">
    <w:name w:val="Date"/>
    <w:next w:val="BodyText"/>
    <w:qFormat/>
    <w:pPr>
      <w:keepNext/>
      <w:keepLines/>
      <w:jc w:val="center"/>
    </w:pPr>
  </w:style>
  <w:style w:customStyle="1" w:styleId="Abstract" w:type="paragraph">
    <w:name w:val="Abstract"/>
    <w:basedOn w:val="Normal"/>
    <w:next w:val="BodyText"/>
    <w:autoRedefine/>
    <w:qFormat/>
    <w:rsid w:val="00475C52"/>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uiPriority w:val="9"/>
    <w:unhideWhenUsed/>
    <w:qFormat/>
  </w:style>
  <w:style w:customStyle="1" w:styleId="Table" w:type="table">
    <w:name w:val="Table"/>
    <w:basedOn w:val="TableNormal"/>
    <w:semiHidden/>
    <w:unhideWhenUsed/>
    <w:qFormat/>
    <w:rsid w:val="00556B80"/>
    <w:tblPr>
      <w:jc w:val="center"/>
      <w:tblBorders>
        <w:bottom w:color="auto" w:space="0" w:sz="4" w:val="single"/>
      </w:tblBorders>
    </w:tblPr>
    <w:trPr>
      <w:jc w:val="center"/>
    </w:trPr>
    <w:tblStylePr w:type="firstRow">
      <w:pPr>
        <w:jc w:val="center"/>
      </w:pPr>
      <w:rPr>
        <w:rFonts w:asciiTheme="minorHAnsi" w:hAnsiTheme="minorHAnsi"/>
        <w:b/>
        <w:color w:val="auto"/>
        <w:sz w:val="24"/>
        <w:u w:val="none"/>
      </w:rPr>
      <w:tblPr/>
      <w:tcPr>
        <w:tcBorders>
          <w:top w:color="auto" w:space="0" w:sz="4" w:val="single"/>
          <w:bottom w:color="auto" w:space="0" w:sz="4" w:val="single"/>
        </w:tcBorders>
        <w:shd w:color="auto" w:fill="BFBFBF" w:themeFill="background1" w:themeFillShade="BF" w:val="clear"/>
      </w:tcPr>
    </w:tblStylePr>
    <w:tblStylePr w:type="firstCol">
      <w:rPr>
        <w:b/>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rsid w:val="00556B80"/>
    <w:pPr>
      <w:spacing w:after="120" w:before="0"/>
      <w:jc w:val="center"/>
    </w:pPr>
    <w:rPr>
      <w:i/>
    </w:rPr>
  </w:style>
  <w:style w:customStyle="1" w:styleId="TableCaption" w:type="paragraph">
    <w:name w:val="Table Caption"/>
    <w:basedOn w:val="Caption"/>
    <w:autoRedefine/>
    <w:rsid w:val="009F1910"/>
    <w:pPr>
      <w:keepNext/>
      <w:spacing w:before="240"/>
      <w:ind w:firstLine="0"/>
    </w:pPr>
  </w:style>
  <w:style w:customStyle="1" w:styleId="ImageCaption" w:type="paragraph">
    <w:name w:val="Image Caption"/>
    <w:basedOn w:val="Caption"/>
    <w:autoRedefine/>
    <w:qFormat/>
    <w:rsid w:val="009A350C"/>
    <w:pPr>
      <w:keepLines/>
      <w:spacing w:before="200"/>
      <w:ind w:firstLine="0"/>
      <w:jc w:val="both"/>
    </w:pPr>
  </w:style>
  <w:style w:customStyle="1" w:styleId="Figure" w:type="paragraph">
    <w:name w:val="Figure"/>
    <w:basedOn w:val="Normal"/>
    <w:autoRedefine/>
    <w:rsid w:val="001D0787"/>
    <w:pPr>
      <w:keepNext/>
      <w:spacing w:after="120" w:before="240" w:line="360" w:lineRule="auto"/>
      <w:ind w:firstLine="0"/>
      <w:jc w:val="center"/>
    </w:pPr>
    <w:rPr>
      <w:noProof/>
    </w:rPr>
  </w:style>
  <w:style w:customStyle="1" w:styleId="CaptionedFigure" w:type="paragraph">
    <w:name w:val="Captioned Figure"/>
    <w:basedOn w:val="Figure"/>
    <w:rsid w:val="00357B8B"/>
  </w:style>
  <w:style w:customStyle="1" w:styleId="CaptionChar" w:type="character">
    <w:name w:val="Caption Char"/>
    <w:basedOn w:val="DefaultParagraphFont"/>
    <w:link w:val="Caption"/>
    <w:rsid w:val="00556B80"/>
    <w:rPr>
      <w:i/>
    </w:rPr>
  </w:style>
  <w:style w:customStyle="1" w:styleId="VerbatimChar" w:type="character">
    <w:name w:val="Verbatim Char"/>
    <w:basedOn w:val="CaptionChar"/>
    <w:link w:val="SourceCode"/>
    <w:rsid w:val="00357B8B"/>
    <w:rPr>
      <w:i/>
      <w:shd w:color="auto" w:fill="F8F8F8" w:val="clear"/>
    </w:rPr>
  </w:style>
  <w:style w:styleId="FootnoteReference" w:type="character">
    <w:name w:val="footnote reference"/>
    <w:basedOn w:val="CaptionChar"/>
    <w:rPr>
      <w:i/>
      <w:vertAlign w:val="superscript"/>
    </w:rPr>
  </w:style>
  <w:style w:styleId="Hyperlink" w:type="character">
    <w:name w:val="Hyperlink"/>
    <w:basedOn w:val="CaptionChar"/>
    <w:rPr>
      <w:i/>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rsid w:val="00357B8B"/>
    <w:pPr>
      <w:framePr w:hAnchor="text" w:vAnchor="text" w:wrap="around" w:y="1"/>
      <w:shd w:color="auto" w:fill="F8F8F8" w:val="clear"/>
      <w:wordWrap w:val="0"/>
      <w:spacing w:after="0" w:before="0" w:line="240" w:lineRule="auto"/>
      <w:ind w:firstLine="0"/>
    </w:pPr>
  </w:style>
  <w:style w:customStyle="1" w:styleId="KeywordTok" w:type="character">
    <w:name w:val="KeywordTok"/>
    <w:basedOn w:val="VerbatimChar"/>
    <w:rPr>
      <w:b/>
      <w:i/>
      <w:color w:val="204A87"/>
      <w:shd w:color="auto" w:fill="F8F8F8" w:val="clear"/>
    </w:rPr>
  </w:style>
  <w:style w:customStyle="1" w:styleId="DataTypeTok" w:type="character">
    <w:name w:val="DataTypeTok"/>
    <w:basedOn w:val="VerbatimChar"/>
    <w:rPr>
      <w:i/>
      <w:color w:val="204A87"/>
      <w:shd w:color="auto" w:fill="F8F8F8" w:val="clear"/>
    </w:rPr>
  </w:style>
  <w:style w:customStyle="1" w:styleId="DecValTok" w:type="character">
    <w:name w:val="DecValTok"/>
    <w:basedOn w:val="VerbatimChar"/>
    <w:rPr>
      <w:i/>
      <w:color w:val="0000CF"/>
      <w:shd w:color="auto" w:fill="F8F8F8" w:val="clear"/>
    </w:rPr>
  </w:style>
  <w:style w:customStyle="1" w:styleId="BaseNTok" w:type="character">
    <w:name w:val="BaseNTok"/>
    <w:basedOn w:val="VerbatimChar"/>
    <w:rPr>
      <w:i/>
      <w:color w:val="0000CF"/>
      <w:shd w:color="auto" w:fill="F8F8F8" w:val="clear"/>
    </w:rPr>
  </w:style>
  <w:style w:customStyle="1" w:styleId="FloatTok" w:type="character">
    <w:name w:val="FloatTok"/>
    <w:basedOn w:val="VerbatimChar"/>
    <w:rPr>
      <w:i/>
      <w:color w:val="0000CF"/>
      <w:shd w:color="auto" w:fill="F8F8F8" w:val="clear"/>
    </w:rPr>
  </w:style>
  <w:style w:customStyle="1" w:styleId="ConstantTok" w:type="character">
    <w:name w:val="ConstantTok"/>
    <w:basedOn w:val="VerbatimChar"/>
    <w:rPr>
      <w:i/>
      <w:color w:val="000000"/>
      <w:shd w:color="auto" w:fill="F8F8F8" w:val="clear"/>
    </w:rPr>
  </w:style>
  <w:style w:customStyle="1" w:styleId="CharTok" w:type="character">
    <w:name w:val="CharTok"/>
    <w:basedOn w:val="VerbatimChar"/>
    <w:rPr>
      <w:i/>
      <w:color w:val="4E9A06"/>
      <w:shd w:color="auto" w:fill="F8F8F8" w:val="clear"/>
    </w:rPr>
  </w:style>
  <w:style w:customStyle="1" w:styleId="SpecialCharTok" w:type="character">
    <w:name w:val="SpecialCharTok"/>
    <w:basedOn w:val="VerbatimChar"/>
    <w:rPr>
      <w:i/>
      <w:color w:val="000000"/>
      <w:shd w:color="auto" w:fill="F8F8F8" w:val="clear"/>
    </w:rPr>
  </w:style>
  <w:style w:customStyle="1" w:styleId="StringTok" w:type="character">
    <w:name w:val="StringTok"/>
    <w:basedOn w:val="VerbatimChar"/>
    <w:rPr>
      <w:i/>
      <w:color w:val="4E9A06"/>
      <w:shd w:color="auto" w:fill="F8F8F8" w:val="clear"/>
    </w:rPr>
  </w:style>
  <w:style w:customStyle="1" w:styleId="VerbatimStringTok" w:type="character">
    <w:name w:val="VerbatimStringTok"/>
    <w:basedOn w:val="VerbatimChar"/>
    <w:rPr>
      <w:i/>
      <w:color w:val="4E9A06"/>
      <w:shd w:color="auto" w:fill="F8F8F8" w:val="clear"/>
    </w:rPr>
  </w:style>
  <w:style w:customStyle="1" w:styleId="SpecialStringTok" w:type="character">
    <w:name w:val="SpecialStringTok"/>
    <w:basedOn w:val="VerbatimChar"/>
    <w:rPr>
      <w:i/>
      <w:color w:val="4E9A06"/>
      <w:shd w:color="auto" w:fill="F8F8F8" w:val="clear"/>
    </w:rPr>
  </w:style>
  <w:style w:customStyle="1" w:styleId="ImportTok" w:type="character">
    <w:name w:val="ImportTok"/>
    <w:basedOn w:val="VerbatimChar"/>
    <w:rPr>
      <w:i/>
      <w:shd w:color="auto" w:fill="F8F8F8" w:val="clear"/>
    </w:rPr>
  </w:style>
  <w:style w:customStyle="1" w:styleId="CommentTok" w:type="character">
    <w:name w:val="CommentTok"/>
    <w:basedOn w:val="VerbatimChar"/>
    <w:rPr>
      <w:i w:val="0"/>
      <w:color w:val="8F5902"/>
      <w:shd w:color="auto" w:fill="F8F8F8" w:val="clear"/>
    </w:rPr>
  </w:style>
  <w:style w:customStyle="1" w:styleId="DocumentationTok" w:type="character">
    <w:name w:val="DocumentationTok"/>
    <w:basedOn w:val="VerbatimChar"/>
    <w:rPr>
      <w:b/>
      <w:i w:val="0"/>
      <w:color w:val="8F5902"/>
      <w:shd w:color="auto" w:fill="F8F8F8" w:val="clear"/>
    </w:rPr>
  </w:style>
  <w:style w:customStyle="1" w:styleId="AnnotationTok" w:type="character">
    <w:name w:val="AnnotationTok"/>
    <w:basedOn w:val="VerbatimChar"/>
    <w:rPr>
      <w:b/>
      <w:i w:val="0"/>
      <w:color w:val="8F5902"/>
      <w:shd w:color="auto" w:fill="F8F8F8" w:val="clear"/>
    </w:rPr>
  </w:style>
  <w:style w:customStyle="1" w:styleId="CommentVarTok" w:type="character">
    <w:name w:val="CommentVarTok"/>
    <w:basedOn w:val="VerbatimChar"/>
    <w:rPr>
      <w:b/>
      <w:i w:val="0"/>
      <w:color w:val="8F5902"/>
      <w:shd w:color="auto" w:fill="F8F8F8" w:val="clear"/>
    </w:rPr>
  </w:style>
  <w:style w:customStyle="1" w:styleId="OtherTok" w:type="character">
    <w:name w:val="OtherTok"/>
    <w:basedOn w:val="VerbatimChar"/>
    <w:rPr>
      <w:i/>
      <w:color w:val="8F5902"/>
      <w:shd w:color="auto" w:fill="F8F8F8" w:val="clear"/>
    </w:rPr>
  </w:style>
  <w:style w:customStyle="1" w:styleId="FunctionTok" w:type="character">
    <w:name w:val="FunctionTok"/>
    <w:basedOn w:val="VerbatimChar"/>
    <w:rPr>
      <w:i/>
      <w:color w:val="000000"/>
      <w:shd w:color="auto" w:fill="F8F8F8" w:val="clear"/>
    </w:rPr>
  </w:style>
  <w:style w:customStyle="1" w:styleId="VariableTok" w:type="character">
    <w:name w:val="VariableTok"/>
    <w:basedOn w:val="VerbatimChar"/>
    <w:rPr>
      <w:i/>
      <w:color w:val="000000"/>
      <w:shd w:color="auto" w:fill="F8F8F8" w:val="clear"/>
    </w:rPr>
  </w:style>
  <w:style w:customStyle="1" w:styleId="ControlFlowTok" w:type="character">
    <w:name w:val="ControlFlowTok"/>
    <w:basedOn w:val="VerbatimChar"/>
    <w:rPr>
      <w:b/>
      <w:i/>
      <w:color w:val="204A87"/>
      <w:shd w:color="auto" w:fill="F8F8F8" w:val="clear"/>
    </w:rPr>
  </w:style>
  <w:style w:customStyle="1" w:styleId="OperatorTok" w:type="character">
    <w:name w:val="OperatorTok"/>
    <w:basedOn w:val="VerbatimChar"/>
    <w:rPr>
      <w:b/>
      <w:i/>
      <w:color w:val="CE5C00"/>
      <w:shd w:color="auto" w:fill="F8F8F8" w:val="clear"/>
    </w:rPr>
  </w:style>
  <w:style w:customStyle="1" w:styleId="BuiltInTok" w:type="character">
    <w:name w:val="BuiltInTok"/>
    <w:basedOn w:val="VerbatimChar"/>
    <w:rPr>
      <w:i/>
      <w:shd w:color="auto" w:fill="F8F8F8" w:val="clear"/>
    </w:rPr>
  </w:style>
  <w:style w:customStyle="1" w:styleId="ExtensionTok" w:type="character">
    <w:name w:val="ExtensionTok"/>
    <w:basedOn w:val="VerbatimChar"/>
    <w:rPr>
      <w:i/>
      <w:shd w:color="auto" w:fill="F8F8F8" w:val="clear"/>
    </w:rPr>
  </w:style>
  <w:style w:customStyle="1" w:styleId="PreprocessorTok" w:type="character">
    <w:name w:val="PreprocessorTok"/>
    <w:basedOn w:val="VerbatimChar"/>
    <w:rPr>
      <w:i w:val="0"/>
      <w:color w:val="8F5902"/>
      <w:shd w:color="auto" w:fill="F8F8F8" w:val="clear"/>
    </w:rPr>
  </w:style>
  <w:style w:customStyle="1" w:styleId="AttributeTok" w:type="character">
    <w:name w:val="AttributeTok"/>
    <w:basedOn w:val="VerbatimChar"/>
    <w:rPr>
      <w:i/>
      <w:color w:val="C4A000"/>
      <w:shd w:color="auto" w:fill="F8F8F8" w:val="clear"/>
    </w:rPr>
  </w:style>
  <w:style w:customStyle="1" w:styleId="RegionMarkerTok" w:type="character">
    <w:name w:val="RegionMarkerTok"/>
    <w:basedOn w:val="VerbatimChar"/>
    <w:rPr>
      <w:i/>
      <w:shd w:color="auto" w:fill="F8F8F8" w:val="clear"/>
    </w:rPr>
  </w:style>
  <w:style w:customStyle="1" w:styleId="InformationTok" w:type="character">
    <w:name w:val="InformationTok"/>
    <w:basedOn w:val="VerbatimChar"/>
    <w:rPr>
      <w:b/>
      <w:i w:val="0"/>
      <w:color w:val="8F5902"/>
      <w:shd w:color="auto" w:fill="F8F8F8" w:val="clear"/>
    </w:rPr>
  </w:style>
  <w:style w:customStyle="1" w:styleId="WarningTok" w:type="character">
    <w:name w:val="WarningTok"/>
    <w:basedOn w:val="VerbatimChar"/>
    <w:rPr>
      <w:b/>
      <w:i w:val="0"/>
      <w:color w:val="8F5902"/>
      <w:shd w:color="auto" w:fill="F8F8F8" w:val="clear"/>
    </w:rPr>
  </w:style>
  <w:style w:customStyle="1" w:styleId="AlertTok" w:type="character">
    <w:name w:val="AlertTok"/>
    <w:basedOn w:val="VerbatimChar"/>
    <w:rPr>
      <w:i/>
      <w:color w:val="EF2929"/>
      <w:shd w:color="auto" w:fill="F8F8F8" w:val="clear"/>
    </w:rPr>
  </w:style>
  <w:style w:customStyle="1" w:styleId="ErrorTok" w:type="character">
    <w:name w:val="ErrorTok"/>
    <w:basedOn w:val="VerbatimChar"/>
    <w:rPr>
      <w:b/>
      <w:i/>
      <w:color w:val="A40000"/>
      <w:shd w:color="auto" w:fill="F8F8F8" w:val="clear"/>
    </w:rPr>
  </w:style>
  <w:style w:customStyle="1" w:styleId="NormalTok" w:type="character">
    <w:name w:val="NormalTok"/>
    <w:basedOn w:val="VerbatimChar"/>
    <w:rPr>
      <w:i/>
      <w:shd w:color="auto" w:fill="F8F8F8" w:val="clear"/>
    </w:rPr>
  </w:style>
  <w:style w:customStyle="1" w:styleId="BodyTextChar" w:type="character">
    <w:name w:val="Body Text Char"/>
    <w:basedOn w:val="DefaultParagraphFont"/>
    <w:link w:val="BodyText"/>
    <w:rsid w:val="00475C52"/>
    <w:rPr>
      <w:rFonts w:ascii="Calibri" w:eastAsiaTheme="minorEastAsia" w:hAnsi="Calibri"/>
    </w:rPr>
  </w:style>
  <w:style w:customStyle="1" w:styleId="Image" w:type="paragraph">
    <w:name w:val="Image"/>
    <w:qFormat/>
    <w:rsid w:val="009F1910"/>
    <w:pPr>
      <w:keepNext/>
      <w:spacing w:after="120" w:before="240"/>
      <w:jc w:val="center"/>
    </w:pPr>
    <w:rPr>
      <w:rFonts w:ascii="Calibri" w:hAnsi="Calibri"/>
      <w:noProof/>
    </w:rPr>
  </w:style>
  <w:style w:customStyle="1" w:styleId="TableScientific" w:type="table">
    <w:name w:val="Table Scientific"/>
    <w:basedOn w:val="TableNormal"/>
    <w:uiPriority w:val="99"/>
    <w:rsid w:val="0043749A"/>
    <w:pPr>
      <w:spacing w:after="100" w:afterAutospacing="1" w:before="100" w:beforeAutospacing="1" w:line="360" w:lineRule="auto"/>
    </w:pPr>
    <w:rPr>
      <w:rFonts w:ascii="Calibri" w:cs="Times New Roman (Body CS)" w:eastAsiaTheme="minorEastAsia" w:hAnsi="Calibri"/>
      <w:sz w:val="22"/>
    </w:rPr>
    <w:tblPr>
      <w:jc w:val="center"/>
      <w:tblBorders>
        <w:bottom w:color="auto" w:space="0" w:sz="4" w:val="single"/>
      </w:tblBorders>
    </w:tblPr>
    <w:trPr>
      <w:jc w:val="center"/>
    </w:trPr>
    <w:tcPr>
      <w:vAlign w:val="center"/>
    </w:tcPr>
    <w:tblStylePr w:type="firstRow">
      <w:pPr>
        <w:jc w:val="left"/>
      </w:pPr>
      <w:rPr>
        <w:b/>
      </w:rPr>
      <w:tblPr/>
      <w:tcPr>
        <w:tcBorders>
          <w:top w:color="auto" w:space="0" w:sz="4" w:val="single"/>
          <w:bottom w:color="auto" w:space="0" w:sz="4" w:val="single"/>
        </w:tcBorders>
        <w:shd w:color="auto" w:fill="F2F2F2" w:themeFill="background1" w:themeFillShade="F2" w:val="clear"/>
        <w:vAlign w:val="center"/>
      </w:tcPr>
    </w:tblStylePr>
    <w:tblStylePr w:type="lastRow">
      <w:rPr>
        <w:rFonts w:ascii="Calibri" w:hAnsi="Calibri"/>
      </w:rPr>
      <w:tblPr/>
      <w:tcPr>
        <w:tcBorders>
          <w:bottom w:color="auto" w:space="0" w:sz="4" w:val="single"/>
        </w:tcBorders>
      </w:tcPr>
    </w:tblStylePr>
    <w:tblStylePr w:type="lastCol">
      <w:pPr>
        <w:keepNext/>
        <w:wordWrap/>
        <w:spacing w:after="0" w:afterAutospacing="0" w:afterLines="0" w:before="0" w:beforeAutospacing="0" w:beforeLines="0" w:line="240" w:lineRule="auto"/>
        <w:ind w:firstLine="0" w:firstLineChars="0" w:left="0" w:leftChars="0" w:right="0" w:rightChars="0"/>
      </w:pPr>
      <w:rPr>
        <w:rFonts w:ascii="Calibri" w:eastAsia="SimSun" w:hAnsi="Calibri"/>
      </w:rPr>
      <w:tblPr/>
      <w:tcPr>
        <w:tcBorders>
          <w:bottom w:val="nil"/>
        </w:tcBorders>
      </w:tcPr>
    </w:tblStylePr>
  </w:style>
  <w:style w:styleId="PlainTable1" w:type="table">
    <w:name w:val="Plain Table 1"/>
    <w:basedOn w:val="TableNormal"/>
    <w:rsid w:val="00300D72"/>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3" w:type="table">
    <w:name w:val="Plain Table 3"/>
    <w:basedOn w:val="TableNormal"/>
    <w:rsid w:val="00300D72"/>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1" w:type="table">
    <w:name w:val="Table1"/>
    <w:basedOn w:val="TableNormal"/>
    <w:uiPriority w:val="99"/>
    <w:rsid w:val="0043749A"/>
    <w:pPr>
      <w:spacing w:after="0"/>
      <w:jc w:val="center"/>
    </w:pPr>
    <w:tblPr>
      <w:tblBorders>
        <w:top w:color="auto" w:space="0" w:sz="4" w:val="single"/>
        <w:bottom w:color="auto" w:space="0" w:sz="4" w:val="single"/>
      </w:tblBorders>
    </w:tblPr>
    <w:tcPr>
      <w:noWrap/>
      <w:vAlign w:val="center"/>
    </w:tcPr>
    <w:tblStylePr w:type="firstRow">
      <w:rPr>
        <w:b/>
      </w:rPr>
      <w:tblPr/>
      <w:tcPr>
        <w:tcBorders>
          <w:bottom w:color="auto" w:space="0" w:sz="4" w:val="single"/>
        </w:tcBorders>
      </w:tcPr>
    </w:tblStylePr>
    <w:tblStylePr w:type="firstCol">
      <w:pPr>
        <w:wordWrap/>
        <w:spacing w:after="0" w:afterAutospacing="0" w:afterLines="0" w:before="0" w:beforeAutospacing="0" w:beforeLines="0" w:line="240" w:lineRule="auto"/>
        <w:ind w:firstLine="0" w:firstLineChars="0" w:left="0" w:leftChars="0" w:right="0" w:rightChars="0"/>
        <w:jc w:val="left"/>
        <w:textboxTightWrap w:val="allLines"/>
        <w:outlineLvl w:val="9"/>
      </w:pPr>
      <w:rPr>
        <w:b/>
      </w:rPr>
    </w:tblStylePr>
  </w:style>
  <w:style w:styleId="LineNumber" w:type="character">
    <w:name w:val="line number"/>
    <w:basedOn w:val="DefaultParagraphFont"/>
    <w:semiHidden/>
    <w:unhideWhenUsed/>
    <w:rsid w:val="00D34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2" Target="media/rId52.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32" Target="media/rId32.png" /><Relationship Type="http://schemas.openxmlformats.org/officeDocument/2006/relationships/image" Id="rId48" Target="media/rId48.png" /><Relationship Type="http://schemas.openxmlformats.org/officeDocument/2006/relationships/hyperlink" Id="rId90" Target="http://wst.iwaponline.com/content/49/9/19" TargetMode="External" /><Relationship Type="http://schemas.openxmlformats.org/officeDocument/2006/relationships/hyperlink" Id="rId66" Target="https://doi.org/10.1007/s00248-015-0719-z" TargetMode="External" /><Relationship Type="http://schemas.openxmlformats.org/officeDocument/2006/relationships/hyperlink" Id="rId80" Target="https://doi.org/10.1007/s00267-014-0339-2" TargetMode="External" /><Relationship Type="http://schemas.openxmlformats.org/officeDocument/2006/relationships/hyperlink" Id="rId135" Target="https://doi.org/10.1007/s10452-015-9537-0" TargetMode="External" /><Relationship Type="http://schemas.openxmlformats.org/officeDocument/2006/relationships/hyperlink" Id="rId74" Target="https://doi.org/10.1007/s10452-015-9558-8" TargetMode="External" /><Relationship Type="http://schemas.openxmlformats.org/officeDocument/2006/relationships/hyperlink" Id="rId113" Target="https://doi.org/10.1007/s10750-013-1734-z" TargetMode="External" /><Relationship Type="http://schemas.openxmlformats.org/officeDocument/2006/relationships/hyperlink" Id="rId150" Target="https://doi.org/10.1007/s10811-016-0864-x" TargetMode="External" /><Relationship Type="http://schemas.openxmlformats.org/officeDocument/2006/relationships/hyperlink" Id="rId129" Target="https://doi.org/10.1016/0273-1223(95)00473-Z" TargetMode="External" /><Relationship Type="http://schemas.openxmlformats.org/officeDocument/2006/relationships/hyperlink" Id="rId78" Target="https://doi.org/10.1016/S0273-1223(99)00538-7" TargetMode="External" /><Relationship Type="http://schemas.openxmlformats.org/officeDocument/2006/relationships/hyperlink" Id="rId117" Target="https://doi.org/10.1016/j.envres.2023.115260" TargetMode="External" /><Relationship Type="http://schemas.openxmlformats.org/officeDocument/2006/relationships/hyperlink" Id="rId94" Target="https://doi.org/10.1016/j.hal.2019.101658" TargetMode="External" /><Relationship Type="http://schemas.openxmlformats.org/officeDocument/2006/relationships/hyperlink" Id="rId98" Target="https://doi.org/10.1016/j.hal.2021.102099" TargetMode="External" /><Relationship Type="http://schemas.openxmlformats.org/officeDocument/2006/relationships/hyperlink" Id="rId121" Target="https://doi.org/10.1016/j.jes.2021.03.026" TargetMode="External" /><Relationship Type="http://schemas.openxmlformats.org/officeDocument/2006/relationships/hyperlink" Id="rId146" Target="https://doi.org/10.1016/j.jhazmat.2022.130052" TargetMode="External" /><Relationship Type="http://schemas.openxmlformats.org/officeDocument/2006/relationships/hyperlink" Id="rId119" Target="https://doi.org/10.1016/j.scitotenv.2016.08.134" TargetMode="External" /><Relationship Type="http://schemas.openxmlformats.org/officeDocument/2006/relationships/hyperlink" Id="rId88" Target="https://doi.org/10.1016/j.watres.2006.10.012" TargetMode="External" /><Relationship Type="http://schemas.openxmlformats.org/officeDocument/2006/relationships/hyperlink" Id="rId102" Target="https://doi.org/10.1016/j.watres.2012.06.008" TargetMode="External" /><Relationship Type="http://schemas.openxmlformats.org/officeDocument/2006/relationships/hyperlink" Id="rId123" Target="https://doi.org/10.1016/j.watres.2014.09.038" TargetMode="External" /><Relationship Type="http://schemas.openxmlformats.org/officeDocument/2006/relationships/hyperlink" Id="rId148" Target="https://doi.org/10.1016/j.watres.2015.06.038" TargetMode="External" /><Relationship Type="http://schemas.openxmlformats.org/officeDocument/2006/relationships/hyperlink" Id="rId70" Target="https://doi.org/10.1016/j.watres.2017.07.040" TargetMode="External" /><Relationship Type="http://schemas.openxmlformats.org/officeDocument/2006/relationships/hyperlink" Id="rId100" Target="https://doi.org/10.1016/j.watres.2019.06.066" TargetMode="External" /><Relationship Type="http://schemas.openxmlformats.org/officeDocument/2006/relationships/hyperlink" Id="rId137" Target="https://doi.org/10.1016/j.watres.2020.115574" TargetMode="External" /><Relationship Type="http://schemas.openxmlformats.org/officeDocument/2006/relationships/hyperlink" Id="rId84" Target="https://doi.org/10.1016/j.watres.2020.115797" TargetMode="External" /><Relationship Type="http://schemas.openxmlformats.org/officeDocument/2006/relationships/hyperlink" Id="rId104" Target="https://doi.org/10.1016/j.watres.2022.118670" TargetMode="External" /><Relationship Type="http://schemas.openxmlformats.org/officeDocument/2006/relationships/hyperlink" Id="rId68" Target="https://doi.org/10.1016/j.watres.2023.119667" TargetMode="External" /><Relationship Type="http://schemas.openxmlformats.org/officeDocument/2006/relationships/hyperlink" Id="rId72" Target="https://doi.org/10.1016/s0043-1354(96)00291-6" TargetMode="External" /><Relationship Type="http://schemas.openxmlformats.org/officeDocument/2006/relationships/hyperlink" Id="rId127" Target="https://doi.org/10.1021/acs.est.6b05767" TargetMode="External" /><Relationship Type="http://schemas.openxmlformats.org/officeDocument/2006/relationships/hyperlink" Id="rId125" Target="https://doi.org/10.1038/s41545-022-00181-2" TargetMode="External" /><Relationship Type="http://schemas.openxmlformats.org/officeDocument/2006/relationships/hyperlink" Id="rId86" Target="https://doi.org/10.1038/s41579-018-0040-1" TargetMode="External" /><Relationship Type="http://schemas.openxmlformats.org/officeDocument/2006/relationships/hyperlink" Id="rId143" Target="https://doi.org/10.1038/s41579-018-0110-4" TargetMode="External" /><Relationship Type="http://schemas.openxmlformats.org/officeDocument/2006/relationships/hyperlink" Id="rId133" Target="https://doi.org/10.1046/j.1365-2427.1996.00093.x" TargetMode="External" /><Relationship Type="http://schemas.openxmlformats.org/officeDocument/2006/relationships/hyperlink" Id="rId108" Target="https://doi.org/10.1046/j.1365-2427.2003.00957.x" TargetMode="External" /><Relationship Type="http://schemas.openxmlformats.org/officeDocument/2006/relationships/hyperlink" Id="rId139" Target="https://doi.org/10.1080/15287390490492377" TargetMode="External" /><Relationship Type="http://schemas.openxmlformats.org/officeDocument/2006/relationships/hyperlink" Id="rId82" Target="https://doi.org/10.1093/plankt/fbm036" TargetMode="External" /><Relationship Type="http://schemas.openxmlformats.org/officeDocument/2006/relationships/hyperlink" Id="rId106" Target="https://doi.org/10.1093/plankt/fbq094" TargetMode="External" /><Relationship Type="http://schemas.openxmlformats.org/officeDocument/2006/relationships/hyperlink" Id="rId92" Target="https://doi.org/10.1111/j.1365-2427.2005.01415.x" TargetMode="External" /><Relationship Type="http://schemas.openxmlformats.org/officeDocument/2006/relationships/hyperlink" Id="rId111" Target="https://doi.org/10.1111/j.1365-2427.2012.02734.x" TargetMode="External" /><Relationship Type="http://schemas.openxmlformats.org/officeDocument/2006/relationships/hyperlink" Id="rId96" Target="https://doi.org/10.1128/aem.02250-06" TargetMode="External" /><Relationship Type="http://schemas.openxmlformats.org/officeDocument/2006/relationships/hyperlink" Id="rId64" Target="https://doi.org/10.1155/2015/834197" TargetMode="External" /><Relationship Type="http://schemas.openxmlformats.org/officeDocument/2006/relationships/hyperlink" Id="rId131" Target="https://doi.org/10.1890/04-1953" TargetMode="External" /><Relationship Type="http://schemas.openxmlformats.org/officeDocument/2006/relationships/hyperlink" Id="rId76" Target="https://doi.org/10.2166/wst.1983.0136" TargetMode="External" /><Relationship Type="http://schemas.openxmlformats.org/officeDocument/2006/relationships/hyperlink" Id="rId141" Target="https://doi.org/10.2216/i0031-8884-42-4-332.1" TargetMode="External" /><Relationship Type="http://schemas.openxmlformats.org/officeDocument/2006/relationships/hyperlink" Id="rId115" Target="https://doi.org/J.scitotenv.2018.08.307" TargetMode="External" /><Relationship Type="http://schemas.openxmlformats.org/officeDocument/2006/relationships/hyperlink" Id="rId24" Target="https://drwater.rcees.ac.cn" TargetMode="External" /></Relationships>
</file>

<file path=word/_rels/footnotes.xml.rels><?xml version="1.0" encoding="UTF-8"?><Relationships xmlns="http://schemas.openxmlformats.org/package/2006/relationships"><Relationship Type="http://schemas.openxmlformats.org/officeDocument/2006/relationships/hyperlink" Id="rId90" Target="http://wst.iwaponline.com/content/49/9/19" TargetMode="External" /><Relationship Type="http://schemas.openxmlformats.org/officeDocument/2006/relationships/hyperlink" Id="rId66" Target="https://doi.org/10.1007/s00248-015-0719-z" TargetMode="External" /><Relationship Type="http://schemas.openxmlformats.org/officeDocument/2006/relationships/hyperlink" Id="rId80" Target="https://doi.org/10.1007/s00267-014-0339-2" TargetMode="External" /><Relationship Type="http://schemas.openxmlformats.org/officeDocument/2006/relationships/hyperlink" Id="rId135" Target="https://doi.org/10.1007/s10452-015-9537-0" TargetMode="External" /><Relationship Type="http://schemas.openxmlformats.org/officeDocument/2006/relationships/hyperlink" Id="rId74" Target="https://doi.org/10.1007/s10452-015-9558-8" TargetMode="External" /><Relationship Type="http://schemas.openxmlformats.org/officeDocument/2006/relationships/hyperlink" Id="rId113" Target="https://doi.org/10.1007/s10750-013-1734-z" TargetMode="External" /><Relationship Type="http://schemas.openxmlformats.org/officeDocument/2006/relationships/hyperlink" Id="rId150" Target="https://doi.org/10.1007/s10811-016-0864-x" TargetMode="External" /><Relationship Type="http://schemas.openxmlformats.org/officeDocument/2006/relationships/hyperlink" Id="rId129" Target="https://doi.org/10.1016/0273-1223(95)00473-Z" TargetMode="External" /><Relationship Type="http://schemas.openxmlformats.org/officeDocument/2006/relationships/hyperlink" Id="rId78" Target="https://doi.org/10.1016/S0273-1223(99)00538-7" TargetMode="External" /><Relationship Type="http://schemas.openxmlformats.org/officeDocument/2006/relationships/hyperlink" Id="rId117" Target="https://doi.org/10.1016/j.envres.2023.115260" TargetMode="External" /><Relationship Type="http://schemas.openxmlformats.org/officeDocument/2006/relationships/hyperlink" Id="rId94" Target="https://doi.org/10.1016/j.hal.2019.101658" TargetMode="External" /><Relationship Type="http://schemas.openxmlformats.org/officeDocument/2006/relationships/hyperlink" Id="rId98" Target="https://doi.org/10.1016/j.hal.2021.102099" TargetMode="External" /><Relationship Type="http://schemas.openxmlformats.org/officeDocument/2006/relationships/hyperlink" Id="rId121" Target="https://doi.org/10.1016/j.jes.2021.03.026" TargetMode="External" /><Relationship Type="http://schemas.openxmlformats.org/officeDocument/2006/relationships/hyperlink" Id="rId146" Target="https://doi.org/10.1016/j.jhazmat.2022.130052" TargetMode="External" /><Relationship Type="http://schemas.openxmlformats.org/officeDocument/2006/relationships/hyperlink" Id="rId119" Target="https://doi.org/10.1016/j.scitotenv.2016.08.134" TargetMode="External" /><Relationship Type="http://schemas.openxmlformats.org/officeDocument/2006/relationships/hyperlink" Id="rId88" Target="https://doi.org/10.1016/j.watres.2006.10.012" TargetMode="External" /><Relationship Type="http://schemas.openxmlformats.org/officeDocument/2006/relationships/hyperlink" Id="rId102" Target="https://doi.org/10.1016/j.watres.2012.06.008" TargetMode="External" /><Relationship Type="http://schemas.openxmlformats.org/officeDocument/2006/relationships/hyperlink" Id="rId123" Target="https://doi.org/10.1016/j.watres.2014.09.038" TargetMode="External" /><Relationship Type="http://schemas.openxmlformats.org/officeDocument/2006/relationships/hyperlink" Id="rId148" Target="https://doi.org/10.1016/j.watres.2015.06.038" TargetMode="External" /><Relationship Type="http://schemas.openxmlformats.org/officeDocument/2006/relationships/hyperlink" Id="rId70" Target="https://doi.org/10.1016/j.watres.2017.07.040" TargetMode="External" /><Relationship Type="http://schemas.openxmlformats.org/officeDocument/2006/relationships/hyperlink" Id="rId100" Target="https://doi.org/10.1016/j.watres.2019.06.066" TargetMode="External" /><Relationship Type="http://schemas.openxmlformats.org/officeDocument/2006/relationships/hyperlink" Id="rId137" Target="https://doi.org/10.1016/j.watres.2020.115574" TargetMode="External" /><Relationship Type="http://schemas.openxmlformats.org/officeDocument/2006/relationships/hyperlink" Id="rId84" Target="https://doi.org/10.1016/j.watres.2020.115797" TargetMode="External" /><Relationship Type="http://schemas.openxmlformats.org/officeDocument/2006/relationships/hyperlink" Id="rId104" Target="https://doi.org/10.1016/j.watres.2022.118670" TargetMode="External" /><Relationship Type="http://schemas.openxmlformats.org/officeDocument/2006/relationships/hyperlink" Id="rId68" Target="https://doi.org/10.1016/j.watres.2023.119667" TargetMode="External" /><Relationship Type="http://schemas.openxmlformats.org/officeDocument/2006/relationships/hyperlink" Id="rId72" Target="https://doi.org/10.1016/s0043-1354(96)00291-6" TargetMode="External" /><Relationship Type="http://schemas.openxmlformats.org/officeDocument/2006/relationships/hyperlink" Id="rId127" Target="https://doi.org/10.1021/acs.est.6b05767" TargetMode="External" /><Relationship Type="http://schemas.openxmlformats.org/officeDocument/2006/relationships/hyperlink" Id="rId125" Target="https://doi.org/10.1038/s41545-022-00181-2" TargetMode="External" /><Relationship Type="http://schemas.openxmlformats.org/officeDocument/2006/relationships/hyperlink" Id="rId86" Target="https://doi.org/10.1038/s41579-018-0040-1" TargetMode="External" /><Relationship Type="http://schemas.openxmlformats.org/officeDocument/2006/relationships/hyperlink" Id="rId143" Target="https://doi.org/10.1038/s41579-018-0110-4" TargetMode="External" /><Relationship Type="http://schemas.openxmlformats.org/officeDocument/2006/relationships/hyperlink" Id="rId133" Target="https://doi.org/10.1046/j.1365-2427.1996.00093.x" TargetMode="External" /><Relationship Type="http://schemas.openxmlformats.org/officeDocument/2006/relationships/hyperlink" Id="rId108" Target="https://doi.org/10.1046/j.1365-2427.2003.00957.x" TargetMode="External" /><Relationship Type="http://schemas.openxmlformats.org/officeDocument/2006/relationships/hyperlink" Id="rId139" Target="https://doi.org/10.1080/15287390490492377" TargetMode="External" /><Relationship Type="http://schemas.openxmlformats.org/officeDocument/2006/relationships/hyperlink" Id="rId82" Target="https://doi.org/10.1093/plankt/fbm036" TargetMode="External" /><Relationship Type="http://schemas.openxmlformats.org/officeDocument/2006/relationships/hyperlink" Id="rId106" Target="https://doi.org/10.1093/plankt/fbq094" TargetMode="External" /><Relationship Type="http://schemas.openxmlformats.org/officeDocument/2006/relationships/hyperlink" Id="rId92" Target="https://doi.org/10.1111/j.1365-2427.2005.01415.x" TargetMode="External" /><Relationship Type="http://schemas.openxmlformats.org/officeDocument/2006/relationships/hyperlink" Id="rId111" Target="https://doi.org/10.1111/j.1365-2427.2012.02734.x" TargetMode="External" /><Relationship Type="http://schemas.openxmlformats.org/officeDocument/2006/relationships/hyperlink" Id="rId96" Target="https://doi.org/10.1128/aem.02250-06" TargetMode="External" /><Relationship Type="http://schemas.openxmlformats.org/officeDocument/2006/relationships/hyperlink" Id="rId64" Target="https://doi.org/10.1155/2015/834197" TargetMode="External" /><Relationship Type="http://schemas.openxmlformats.org/officeDocument/2006/relationships/hyperlink" Id="rId131" Target="https://doi.org/10.1890/04-1953" TargetMode="External" /><Relationship Type="http://schemas.openxmlformats.org/officeDocument/2006/relationships/hyperlink" Id="rId76" Target="https://doi.org/10.2166/wst.1983.0136" TargetMode="External" /><Relationship Type="http://schemas.openxmlformats.org/officeDocument/2006/relationships/hyperlink" Id="rId141" Target="https://doi.org/10.2216/i0031-8884-42-4-332.1" TargetMode="External" /><Relationship Type="http://schemas.openxmlformats.org/officeDocument/2006/relationships/hyperlink" Id="rId115" Target="https://doi.org/J.scitotenv.2018.08.307" TargetMode="External" /><Relationship Type="http://schemas.openxmlformats.org/officeDocument/2006/relationships/hyperlink" Id="rId24" Target="https://drwater.rcees.ac.c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Strategy for identification of MIB producers using routine data: a case study of an estuary drinking water reservoir</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MIB-derived odor management based upon hydraulic regulation in small drinking water reservoirs: principle and application</dc:title>
  <dc:creator>Jinping Lu; Ming Su; Yuliang Su; Jiao Fang; Michael Burch; Tengxin Cao; Bin Wu; Jianwei Yu; Min Yang</dc:creator>
  <dc:language>en</dc:language>
  <cp:keywords>2-methylisoborneol, cyanobacterial control, HRT, drinking water, hydraulic regulation, odor</cp:keywords>
  <dcterms:created xsi:type="dcterms:W3CDTF">2024-04-29T14:34:58Z</dcterms:created>
  <dcterms:modified xsi:type="dcterms:W3CDTF">2024-04-29T14:34:58Z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quarto-vars">
    <vt:lpwstr/>
  </property>
  <property fmtid="{D5CDD505-2E9C-101B-9397-08002B2CF9AE}" pid="3" name="abstract">
    <vt:lpwstr>这项研究提出了一种基于水力调控的方法，用于控制小型水库中产生异萜酮(MIB)的蓝藻的生长，根据长期的野外调查、实验室培养实验、模型构建和现场应用的结果。野外调查发现较长的水力停留时间（HRT）是触发MIB事件的因素之一。培养研究揭示了最大细胞密度、产生MIB的Planktothricoides raciborskii的生长速率和MIB浓度由HRT决定（R2= 0.94，p值 &lt; 0.001），并且可以通过将HRT减少到小于10天来最小化。在此基础上，建立了一个HRT调控模型，并通过野外调查进行了验证，并评估了14个蓝藻属的关键HRT值。通过将HRT减少到5.4 ± 0.8天，低于7.5 ~ 15.0天的临界值，成功地终止了2021年ZXD水库的一个MIB事件。结果表明，该提出的原则可以为HRT调控提供科学依据，已证明是有效和可行的。这种方法避免了对水质的负面影响，不需要额外投资于工程基础设施，并且在某些情况下可以通过改变现有的操作程序来立即应用。因此，基于HRT的调控是一种有前途的策略，可以针对MIB的控制，可能也适用于小型水库中其他蓝藻来源的水质问题。</vt:lpwstr>
  </property>
  <property fmtid="{D5CDD505-2E9C-101B-9397-08002B2CF9AE}" pid="4" name="affiliations">
    <vt:lpwstr/>
  </property>
  <property fmtid="{D5CDD505-2E9C-101B-9397-08002B2CF9AE}" pid="5" name="authors">
    <vt:lpwstr/>
  </property>
  <property fmtid="{D5CDD505-2E9C-101B-9397-08002B2CF9AE}" pid="6" name="biblio-config">
    <vt:lpwstr>True</vt:lpwstr>
  </property>
  <property fmtid="{D5CDD505-2E9C-101B-9397-08002B2CF9AE}" pid="7" name="bibliography">
    <vt:lpwstr>../BB/Ref.bib</vt:lpwstr>
  </property>
  <property fmtid="{D5CDD505-2E9C-101B-9397-08002B2CF9AE}" pid="8" name="by-affiliation">
    <vt:lpwstr/>
  </property>
  <property fmtid="{D5CDD505-2E9C-101B-9397-08002B2CF9AE}" pid="9" name="by-author">
    <vt:lpwstr/>
  </property>
  <property fmtid="{D5CDD505-2E9C-101B-9397-08002B2CF9AE}" pid="10" name="commands">
    <vt:lpwstr/>
  </property>
  <property fmtid="{D5CDD505-2E9C-101B-9397-08002B2CF9AE}" pid="11" name="comments">
    <vt:lpwstr/>
  </property>
  <property fmtid="{D5CDD505-2E9C-101B-9397-08002B2CF9AE}" pid="12" name="crossref">
    <vt:lpwstr/>
  </property>
  <property fmtid="{D5CDD505-2E9C-101B-9397-08002B2CF9AE}" pid="13" name="csl">
    <vt:lpwstr>_extensions/inst/tex/elsevier-harvard.csl</vt:lpwstr>
  </property>
  <property fmtid="{D5CDD505-2E9C-101B-9397-08002B2CF9AE}" pid="14" name="date">
    <vt:lpwstr>2024-04-29</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ightbox">
    <vt:lpwstr>auto</vt:lpwstr>
  </property>
  <property fmtid="{D5CDD505-2E9C-101B-9397-08002B2CF9AE}" pid="20" name="msname">
    <vt:lpwstr>MS</vt:lpwstr>
  </property>
  <property fmtid="{D5CDD505-2E9C-101B-9397-08002B2CF9AE}" pid="21" name="smname">
    <vt:lpwstr>SM</vt:lpwstr>
  </property>
  <property fmtid="{D5CDD505-2E9C-101B-9397-08002B2CF9AE}" pid="22" name="submitid">
    <vt:lpwstr>WR76881</vt:lpwstr>
  </property>
  <property fmtid="{D5CDD505-2E9C-101B-9397-08002B2CF9AE}" pid="23" name="submitjournal">
    <vt:lpwstr>Water Research</vt:lpwstr>
  </property>
  <property fmtid="{D5CDD505-2E9C-101B-9397-08002B2CF9AE}" pid="24" name="toc-title">
    <vt:lpwstr>Table of contents</vt:lpwstr>
  </property>
</Properties>
</file>