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Mitigating</w:t>
      </w:r>
      <w:r>
        <w:t xml:space="preserve"> </w:t>
      </w:r>
      <w:r>
        <w:t xml:space="preserve">harmful</w:t>
      </w:r>
      <w:r>
        <w:t xml:space="preserve"> </w:t>
      </w:r>
      <w:r>
        <w:t xml:space="preserve">cyanobacterial</w:t>
      </w:r>
      <w:r>
        <w:t xml:space="preserve"> </w:t>
      </w:r>
      <w:r>
        <w:t xml:space="preserve">blooms</w:t>
      </w:r>
      <w:r>
        <w:t xml:space="preserve"> </w:t>
      </w:r>
      <w:r>
        <w:t xml:space="preserve">in</w:t>
      </w:r>
      <w:r>
        <w:t xml:space="preserve"> </w:t>
      </w:r>
      <w:r>
        <w:t xml:space="preserve">drinking</w:t>
      </w:r>
      <w:r>
        <w:t xml:space="preserve"> </w:t>
      </w:r>
      <w:r>
        <w:t xml:space="preserve">water</w:t>
      </w:r>
      <w:r>
        <w:t xml:space="preserve"> </w:t>
      </w:r>
      <w:r>
        <w:t xml:space="preserve">reservoirs</w:t>
      </w:r>
      <w:r>
        <w:t xml:space="preserve"> </w:t>
      </w:r>
      <w:r>
        <w:t xml:space="preserve">through</w:t>
      </w:r>
      <w:r>
        <w:t xml:space="preserve"> </w:t>
      </w:r>
      <w:r>
        <w:rPr>
          <w:i/>
          <w:iCs/>
        </w:rPr>
        <w:t xml:space="preserve">in-situ</w:t>
      </w:r>
      <w:r>
        <w:t xml:space="preserve"> </w:t>
      </w:r>
      <w:r>
        <w:t xml:space="preserve">sediment</w:t>
      </w:r>
      <w:r>
        <w:t xml:space="preserve"> </w:t>
      </w:r>
      <w:r>
        <w:t xml:space="preserve">resuspension</w:t>
      </w:r>
    </w:p>
    <w:p>
      <w:pPr>
        <w:pStyle w:val="Date"/>
      </w:pPr>
      <w:r>
        <w:t xml:space="preserve">2024-07-30</w:t>
      </w:r>
    </w:p>
    <w:p>
      <w:pPr>
        <w:pStyle w:val="FirstParagraph"/>
      </w:pPr>
      <w:r>
        <w:t xml:space="preserve">Jiao Fang</w:t>
      </w:r>
      <w:r>
        <w:rPr>
          <w:vertAlign w:val="superscript"/>
        </w:rPr>
        <w:t xml:space="preserve">1,2</w:t>
      </w:r>
      <w:r>
        <w:t xml:space="preserve">, </w:t>
      </w:r>
      <w:r>
        <w:t xml:space="preserve">Yande Li</w:t>
      </w:r>
      <w:r>
        <w:rPr>
          <w:vertAlign w:val="superscript"/>
        </w:rPr>
        <w:t xml:space="preserve">4</w:t>
      </w:r>
      <w:r>
        <w:t xml:space="preserve">, </w:t>
      </w:r>
      <w:r>
        <w:t xml:space="preserve">Ming Su</w:t>
      </w:r>
      <w:r>
        <w:rPr>
          <w:vertAlign w:val="superscript"/>
        </w:rPr>
        <w:t xml:space="preserve">1,6,*</w:t>
      </w:r>
      <w:r>
        <w:t xml:space="preserve">, </w:t>
      </w:r>
      <w:r>
        <w:t xml:space="preserve">Tengxin Cao</w:t>
      </w:r>
      <w:r>
        <w:rPr>
          <w:vertAlign w:val="superscript"/>
        </w:rPr>
        <w:t xml:space="preserve">1,6</w:t>
      </w:r>
      <w:r>
        <w:t xml:space="preserve">, </w:t>
      </w:r>
      <w:r>
        <w:t xml:space="preserve">Xufeng Sun</w:t>
      </w:r>
      <w:r>
        <w:rPr>
          <w:vertAlign w:val="superscript"/>
        </w:rPr>
        <w:t xml:space="preserve">3</w:t>
      </w:r>
      <w:r>
        <w:t xml:space="preserve">, </w:t>
      </w:r>
      <w:r>
        <w:t xml:space="preserve">Yufan Ai</w:t>
      </w:r>
      <w:r>
        <w:rPr>
          <w:vertAlign w:val="superscript"/>
        </w:rPr>
        <w:t xml:space="preserve">1,6</w:t>
      </w:r>
      <w:r>
        <w:t xml:space="preserve">, </w:t>
      </w:r>
      <w:r>
        <w:t xml:space="preserve">Jinyi Qin</w:t>
      </w:r>
      <w:r>
        <w:rPr>
          <w:vertAlign w:val="superscript"/>
        </w:rPr>
        <w:t xml:space="preserve">5</w:t>
      </w:r>
      <w:r>
        <w:t xml:space="preserve">, </w:t>
      </w:r>
      <w:r>
        <w:t xml:space="preserve">Jianwei Yu</w:t>
      </w:r>
      <w:r>
        <w:rPr>
          <w:vertAlign w:val="superscript"/>
        </w:rPr>
        <w:t xml:space="preserve">1,6</w:t>
      </w:r>
      <w:r>
        <w:t xml:space="preserve">, </w:t>
      </w:r>
      <w:r>
        <w:t xml:space="preserve">Min Yang</w:t>
      </w:r>
      <w:r>
        <w:rPr>
          <w:vertAlign w:val="superscript"/>
        </w:rPr>
        <w:t xml:space="preserve">1,6,*</w:t>
      </w:r>
    </w:p>
    <w:p>
      <w:pPr>
        <w:pStyle w:val="BodyText"/>
      </w:pPr>
      <w:r>
        <w:t xml:space="preserve">1. State Key Laboratory of Environmental Aquatic Chemistry, Research Center for Eco-Environmental Sciences, Chinese Academy of Sciences, P.O. Box 2871, Beijing, 100085.</w:t>
      </w:r>
    </w:p>
    <w:p>
      <w:pPr>
        <w:pStyle w:val="BodyText"/>
      </w:pPr>
      <w:r>
        <w:t xml:space="preserve">2. School of Environment and Spatial Informatics, China University of Mining and Technology, Xuzhou, 221116.</w:t>
      </w:r>
    </w:p>
    <w:p>
      <w:pPr>
        <w:pStyle w:val="BodyText"/>
      </w:pPr>
      <w:r>
        <w:t xml:space="preserve">3. Zhejiang Weicheng Huanbao Co. Ltd., Yunxiu North Road 1200, Huzhou, 313200.</w:t>
      </w:r>
    </w:p>
    <w:p>
      <w:pPr>
        <w:pStyle w:val="BodyText"/>
      </w:pPr>
      <w:r>
        <w:t xml:space="preserve">4. Management Station of Shuangxikou Reservoir, Reservoir Management Service Center of Yuyao, Ningbo, 315423.</w:t>
      </w:r>
    </w:p>
    <w:p>
      <w:pPr>
        <w:pStyle w:val="BodyText"/>
      </w:pPr>
      <w:r>
        <w:t xml:space="preserve">5. School of Civil Engineering, Chang’an University, Xi’an, 710054.</w:t>
      </w:r>
    </w:p>
    <w:p>
      <w:pPr>
        <w:pStyle w:val="BodyText"/>
      </w:pPr>
      <w:r>
        <w:t xml:space="preserve">6. University of Chinese Academy of Sciences, Beijing, 100049.</w:t>
      </w:r>
    </w:p>
    <w:p>
      <w:pPr>
        <w:pStyle w:val="BodyText"/>
      </w:pPr>
      <w:r>
        <w:t xml:space="preserve">* Corresponding Author: Min Yang (</w:t>
      </w:r>
      <w:hyperlink r:id="rId20">
        <w:r>
          <w:rPr>
            <w:rStyle w:val="Hyperlink"/>
          </w:rPr>
          <w:t xml:space="preserve">yangmin@rcees.ac.cn</w:t>
        </w:r>
      </w:hyperlink>
      <w:r>
        <w:t xml:space="preserve">)</w:t>
      </w:r>
    </w:p>
    <w:bookmarkStart w:id="21" w:name="highlights"/>
    <w:p>
      <w:pPr>
        <w:pStyle w:val="Heading1"/>
      </w:pPr>
      <w:r>
        <w:t xml:space="preserve">Highlights</w:t>
      </w:r>
    </w:p>
    <w:p>
      <w:pPr>
        <w:pStyle w:val="Compact"/>
        <w:numPr>
          <w:ilvl w:val="0"/>
          <w:numId w:val="1001"/>
        </w:numPr>
      </w:pPr>
      <w:r>
        <w:t xml:space="preserve">Sediment resuspension (SR) controls algae by light reduction and TDP removal</w:t>
      </w:r>
    </w:p>
    <w:p>
      <w:pPr>
        <w:pStyle w:val="Compact"/>
        <w:numPr>
          <w:ilvl w:val="0"/>
          <w:numId w:val="1001"/>
        </w:numPr>
      </w:pPr>
      <w:r>
        <w:t xml:space="preserve">SR improves sediment quality by increasing ORP and inhibiting phosphorus releases</w:t>
      </w:r>
    </w:p>
    <w:p>
      <w:pPr>
        <w:pStyle w:val="Compact"/>
        <w:numPr>
          <w:ilvl w:val="0"/>
          <w:numId w:val="1001"/>
        </w:numPr>
      </w:pPr>
      <w:r>
        <w:t xml:space="preserve">SR technology is green and economical, can be applied in drinking water reservoirs</w:t>
      </w:r>
    </w:p>
    <w:bookmarkEnd w:id="21"/>
    <w:sectPr w:rsidR="00C83DEB" w:rsidRPr="009A350C" w:rsidSect="00D34A99">
      <w:type w:val="continuous"/>
      <w:pgSz w:h="16848" w:w="11952"/>
      <w:pgMar w:bottom="1440" w:footer="720" w:gutter="720" w:header="720" w:left="1440" w:right="1440" w:top="1440"/>
      <w:lnNumType w:countBy="1" w:restart="continuous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17A2F78A"/>
    <w:lvl w:ilvl="0">
      <w:numFmt w:val="bullet"/>
      <w:lvlText w:val="•"/>
      <w:lvlJc w:val="left"/>
      <w:pPr>
        <w:tabs>
          <w:tab w:pos="0" w:val="num"/>
        </w:tabs>
        <w:ind w:hanging="480" w:left="480"/>
      </w:pPr>
    </w:lvl>
    <w:lvl w:ilvl="1">
      <w:numFmt w:val="bullet"/>
      <w:lvlText w:val="–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•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–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•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–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•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–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•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FFFFFF7C"/>
    <w:multiLevelType w:val="singleLevel"/>
    <w:tmpl w:val="35BCE13A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17ACA35A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305208BC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538C7DB2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520CF04A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E05CA962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91027A62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6DB2BCF6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985C7762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D5CEBA9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0000A990"/>
    <w:multiLevelType w:val="multilevel"/>
    <w:tmpl w:val="ECD0910E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00A99421"/>
    <w:multiLevelType w:val="multilevel"/>
    <w:tmpl w:val="3592AE20"/>
    <w:lvl w:ilvl="0">
      <w:start w:val="1"/>
      <w:numFmt w:val="decimal"/>
      <w:lvlText w:val="%1)"/>
      <w:lvlJc w:val="left"/>
      <w:pPr>
        <w:ind w:hanging="480" w:left="720"/>
      </w:pPr>
    </w:lvl>
    <w:lvl w:ilvl="1">
      <w:start w:val="1"/>
      <w:numFmt w:val="decimal"/>
      <w:lvlText w:val="%2)"/>
      <w:lvlJc w:val="left"/>
      <w:pPr>
        <w:ind w:hanging="480" w:left="1440"/>
      </w:pPr>
    </w:lvl>
    <w:lvl w:ilvl="2">
      <w:start w:val="1"/>
      <w:numFmt w:val="decimal"/>
      <w:lvlText w:val="%3)"/>
      <w:lvlJc w:val="left"/>
      <w:pPr>
        <w:ind w:hanging="480" w:left="2160"/>
      </w:pPr>
    </w:lvl>
    <w:lvl w:ilvl="3">
      <w:start w:val="1"/>
      <w:numFmt w:val="decimal"/>
      <w:lvlText w:val="%4)"/>
      <w:lvlJc w:val="left"/>
      <w:pPr>
        <w:ind w:hanging="480" w:left="2880"/>
      </w:pPr>
    </w:lvl>
    <w:lvl w:ilvl="4">
      <w:start w:val="1"/>
      <w:numFmt w:val="decimal"/>
      <w:lvlText w:val="%5)"/>
      <w:lvlJc w:val="left"/>
      <w:pPr>
        <w:ind w:hanging="480" w:left="3600"/>
      </w:pPr>
    </w:lvl>
    <w:lvl w:ilvl="5">
      <w:start w:val="1"/>
      <w:numFmt w:val="decimal"/>
      <w:lvlText w:val="%6)"/>
      <w:lvlJc w:val="left"/>
      <w:pPr>
        <w:ind w:hanging="480" w:left="4320"/>
      </w:pPr>
    </w:lvl>
    <w:lvl w:ilvl="6">
      <w:start w:val="1"/>
      <w:numFmt w:val="decimal"/>
      <w:lvlText w:val="%7)"/>
      <w:lvlJc w:val="left"/>
      <w:pPr>
        <w:ind w:hanging="480" w:left="5040"/>
      </w:pPr>
    </w:lvl>
    <w:lvl w:ilvl="7">
      <w:start w:val="1"/>
      <w:numFmt w:val="decimal"/>
      <w:lvlText w:val="%8)"/>
      <w:lvlJc w:val="left"/>
      <w:pPr>
        <w:ind w:hanging="480" w:left="5760"/>
      </w:pPr>
    </w:lvl>
    <w:lvl w:ilvl="8">
      <w:start w:val="1"/>
      <w:numFmt w:val="decimal"/>
      <w:lvlText w:val="%9)"/>
      <w:lvlJc w:val="left"/>
      <w:pPr>
        <w:ind w:hanging="480" w:left="6480"/>
      </w:pPr>
    </w:lvl>
  </w:abstractNum>
  <w:abstractNum w15:restartNumberingAfterBreak="0" w:abstractNumId="13">
    <w:nsid w:val="2AAB1796"/>
    <w:multiLevelType w:val="multilevel"/>
    <w:tmpl w:val="F7E0EDFA"/>
    <w:lvl w:ilvl="0">
      <w:start w:val="1"/>
      <w:numFmt w:val="decimal"/>
      <w:pStyle w:val="Heading1"/>
      <w:lvlText w:val="%1"/>
      <w:lvlJc w:val="left"/>
      <w:pPr>
        <w:ind w:hanging="432" w:left="432"/>
      </w:pPr>
    </w:lvl>
    <w:lvl w:ilvl="1">
      <w:start w:val="1"/>
      <w:numFmt w:val="decimal"/>
      <w:pStyle w:val="Heading2"/>
      <w:lvlText w:val="%1.%2"/>
      <w:lvlJc w:val="left"/>
      <w:pPr>
        <w:ind w:hanging="576" w:left="576"/>
      </w:pPr>
    </w:lvl>
    <w:lvl w:ilvl="2">
      <w:start w:val="1"/>
      <w:numFmt w:val="decimal"/>
      <w:pStyle w:val="Heading3"/>
      <w:lvlText w:val="%1.%2.%3"/>
      <w:lvlJc w:val="left"/>
      <w:pPr>
        <w:ind w:hanging="720" w:left="720"/>
      </w:pPr>
    </w:lvl>
    <w:lvl w:ilvl="3">
      <w:start w:val="1"/>
      <w:numFmt w:val="decimal"/>
      <w:pStyle w:val="Heading4"/>
      <w:lvlText w:val="%1.%2.%3.%4"/>
      <w:lvlJc w:val="left"/>
      <w:pPr>
        <w:ind w:hanging="864" w:left="864"/>
      </w:pPr>
    </w:lvl>
    <w:lvl w:ilvl="4">
      <w:start w:val="1"/>
      <w:numFmt w:val="decimal"/>
      <w:pStyle w:val="Heading5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"/>
      <w:lvlText w:val="%1.%2.%3.%4.%5.%6.%7.%8.%9"/>
      <w:lvlJc w:val="left"/>
      <w:pPr>
        <w:ind w:hanging="1584" w:left="1584"/>
      </w:pPr>
    </w:lvl>
  </w:abstractNum>
  <w:abstractNum w15:restartNumberingAfterBreak="0" w:abstractNumId="14">
    <w:nsid w:val="2C1AE401"/>
    <w:multiLevelType w:val="multilevel"/>
    <w:tmpl w:val="EB5024D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1647003809" w:numId="1">
    <w:abstractNumId w:val="14"/>
  </w:num>
  <w:num w16cid:durableId="1050769522" w:numId="2">
    <w:abstractNumId w:val="1"/>
  </w:num>
  <w:num w16cid:durableId="691146791" w:numId="3">
    <w:abstractNumId w:val="2"/>
  </w:num>
  <w:num w16cid:durableId="1840848626" w:numId="4">
    <w:abstractNumId w:val="3"/>
  </w:num>
  <w:num w16cid:durableId="979381040" w:numId="5">
    <w:abstractNumId w:val="4"/>
  </w:num>
  <w:num w16cid:durableId="1339770353" w:numId="6">
    <w:abstractNumId w:val="9"/>
  </w:num>
  <w:num w16cid:durableId="1869879009" w:numId="7">
    <w:abstractNumId w:val="5"/>
  </w:num>
  <w:num w16cid:durableId="958805246" w:numId="8">
    <w:abstractNumId w:val="6"/>
  </w:num>
  <w:num w16cid:durableId="1871726544" w:numId="9">
    <w:abstractNumId w:val="7"/>
  </w:num>
  <w:num w16cid:durableId="1443769426" w:numId="10">
    <w:abstractNumId w:val="8"/>
  </w:num>
  <w:num w16cid:durableId="2133476877" w:numId="11">
    <w:abstractNumId w:val="10"/>
  </w:num>
  <w:num w16cid:durableId="1658653764" w:numId="12">
    <w:abstractNumId w:val="13"/>
  </w:num>
  <w:num w16cid:durableId="1291326281" w:numId="13">
    <w:abstractNumId w:val="14"/>
  </w:num>
  <w:num w16cid:durableId="455566639" w:numId="14">
    <w:abstractNumId w:val="0"/>
  </w:num>
  <w:num w16cid:durableId="1123501441" w:numId="15">
    <w:abstractNumId w:val="0"/>
  </w:num>
  <w:num w16cid:durableId="1713111372" w:numId="16">
    <w:abstractNumId w:val="14"/>
  </w:num>
  <w:num w16cid:durableId="633413296" w:numId="17">
    <w:abstractNumId w:val="14"/>
  </w:num>
  <w:num w16cid:durableId="727605067" w:numId="18">
    <w:abstractNumId w:val="0"/>
  </w:num>
  <w:num w16cid:durableId="790052878" w:numId="19">
    <w:abstractNumId w:val="0"/>
  </w:num>
  <w:num w16cid:durableId="1687557063" w:numId="20">
    <w:abstractNumId w:val="0"/>
  </w:num>
  <w:num w16cid:durableId="1615483120" w:numId="21">
    <w:abstractNumId w:val="14"/>
  </w:num>
  <w:num w16cid:durableId="1942569766" w:numId="22">
    <w:abstractNumId w:val="14"/>
  </w:num>
  <w:num w16cid:durableId="1205798551" w:numId="23">
    <w:abstractNumId w:val="11"/>
  </w:num>
  <w:num w16cid:durableId="647243311"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364794324" w:numId="25">
    <w:abstractNumId w:val="11"/>
  </w:num>
  <w:num w16cid:durableId="1211453382" w:numId="26">
    <w:abstractNumId w:val="1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15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EB"/>
    <w:rsid w:val="009A350C"/>
    <w:rsid w:val="00BF0311"/>
    <w:rsid w:val="00C83DEB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75C52"/>
    <w:pPr>
      <w:spacing w:after="240" w:before="120" w:line="480" w:lineRule="auto"/>
      <w:ind w:firstLine="397"/>
      <w:jc w:val="both"/>
    </w:pPr>
    <w:rPr>
      <w:rFonts w:ascii="Calibri" w:eastAsiaTheme="minorEastAsia" w:hAnsi="Calibri"/>
    </w:rPr>
  </w:style>
  <w:style w:styleId="Heading1" w:type="paragraph">
    <w:name w:val="heading 1"/>
    <w:basedOn w:val="Normal"/>
    <w:next w:val="BodyText"/>
    <w:uiPriority w:val="9"/>
    <w:qFormat/>
    <w:rsid w:val="009F1910"/>
    <w:pPr>
      <w:keepNext/>
      <w:keepLines/>
      <w:numPr>
        <w:numId w:val="12"/>
      </w:numPr>
      <w:spacing w:after="0" w:line="240" w:lineRule="auto"/>
      <w:ind w:firstLine="0" w:left="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Heading2" w:type="paragraph">
    <w:name w:val="heading 2"/>
    <w:basedOn w:val="Normal"/>
    <w:next w:val="BodyText"/>
    <w:autoRedefine/>
    <w:uiPriority w:val="9"/>
    <w:unhideWhenUsed/>
    <w:qFormat/>
    <w:rsid w:val="009F1910"/>
    <w:pPr>
      <w:keepNext/>
      <w:keepLines/>
      <w:numPr>
        <w:ilvl w:val="1"/>
        <w:numId w:val="12"/>
      </w:numPr>
      <w:spacing w:after="120" w:line="240" w:lineRule="auto"/>
      <w:ind w:firstLine="0" w:left="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357B8B"/>
    <w:pPr>
      <w:keepNext/>
      <w:keepLines/>
      <w:numPr>
        <w:ilvl w:val="2"/>
        <w:numId w:val="12"/>
      </w:numPr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numPr>
        <w:ilvl w:val="3"/>
        <w:numId w:val="12"/>
      </w:numPr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numPr>
        <w:ilvl w:val="4"/>
        <w:numId w:val="12"/>
      </w:numPr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numPr>
        <w:ilvl w:val="5"/>
        <w:numId w:val="12"/>
      </w:numPr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numPr>
        <w:ilvl w:val="6"/>
        <w:numId w:val="12"/>
      </w:numPr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numPr>
        <w:ilvl w:val="7"/>
        <w:numId w:val="12"/>
      </w:numPr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numPr>
        <w:ilvl w:val="8"/>
        <w:numId w:val="12"/>
      </w:numPr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autoRedefine/>
    <w:qFormat/>
    <w:rsid w:val="00475C52"/>
    <w:pPr>
      <w:spacing w:after="180" w:before="180"/>
    </w:pPr>
  </w:style>
  <w:style w:customStyle="1" w:styleId="FirstParagraph" w:type="paragraph">
    <w:name w:val="First Paragraph"/>
    <w:basedOn w:val="BodyText"/>
    <w:next w:val="BodyText"/>
    <w:autoRedefine/>
    <w:qFormat/>
    <w:rsid w:val="001D0787"/>
    <w:pPr>
      <w:spacing w:after="120" w:before="240"/>
    </w:pPr>
  </w:style>
  <w:style w:customStyle="1" w:styleId="Compact" w:type="paragraph">
    <w:name w:val="Compact"/>
    <w:basedOn w:val="BodyText"/>
    <w:autoRedefine/>
    <w:qFormat/>
    <w:rsid w:val="00684FFA"/>
    <w:pPr>
      <w:spacing w:after="0" w:before="0"/>
      <w:ind w:firstLine="0"/>
      <w:jc w:val="left"/>
    </w:pPr>
  </w:style>
  <w:style w:styleId="Title" w:type="paragraph">
    <w:name w:val="Title"/>
    <w:basedOn w:val="Normal"/>
    <w:next w:val="BodyText"/>
    <w:qFormat/>
    <w:rsid w:val="009F1910"/>
    <w:pPr>
      <w:keepNext/>
      <w:keepLines/>
      <w:spacing w:after="120" w:before="240" w:line="240" w:lineRule="auto"/>
      <w:ind w:firstLine="0"/>
      <w:jc w:val="center"/>
    </w:pPr>
    <w:rPr>
      <w:rFonts w:asciiTheme="majorHAnsi" w:cstheme="majorBidi" w:eastAsiaTheme="majorEastAsia" w:hAnsiTheme="majorHAnsi"/>
      <w:b/>
      <w:bCs/>
      <w:sz w:val="32"/>
      <w:szCs w:val="36"/>
    </w:rPr>
  </w:style>
  <w:style w:styleId="Subtitle" w:type="paragraph">
    <w:name w:val="Subtitle"/>
    <w:basedOn w:val="Title"/>
    <w:next w:val="BodyText"/>
    <w:qFormat/>
    <w:rsid w:val="004659FD"/>
    <w:pPr>
      <w:spacing w:after="240"/>
    </w:pPr>
    <w:rPr>
      <w:sz w:val="28"/>
      <w:szCs w:val="30"/>
    </w:rPr>
  </w:style>
  <w:style w:customStyle="1" w:styleId="Author" w:type="paragraph">
    <w:name w:val="Author"/>
    <w:next w:val="BodyText"/>
    <w:qFormat/>
    <w:rsid w:val="009F1910"/>
    <w:pPr>
      <w:keepNext/>
      <w:keepLines/>
      <w:jc w:val="center"/>
    </w:pPr>
    <w:rPr>
      <w:sz w:val="21"/>
    </w:r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autoRedefine/>
    <w:qFormat/>
    <w:rsid w:val="00475C52"/>
    <w:rPr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basedOn w:val="TableNormal"/>
    <w:semiHidden/>
    <w:unhideWhenUsed/>
    <w:qFormat/>
    <w:rsid w:val="00556B80"/>
    <w:tblPr>
      <w:jc w:val="center"/>
      <w:tblBorders>
        <w:bottom w:color="auto" w:space="0" w:sz="4" w:val="single"/>
      </w:tblBorders>
    </w:tblPr>
    <w:trPr>
      <w:jc w:val="center"/>
    </w:trPr>
    <w:tblStylePr w:type="firstRow">
      <w:pPr>
        <w:jc w:val="center"/>
      </w:pPr>
      <w:rPr>
        <w:rFonts w:asciiTheme="minorHAnsi" w:hAnsiTheme="minorHAnsi"/>
        <w:b/>
        <w:color w:val="auto"/>
        <w:sz w:val="24"/>
        <w:u w:val="none"/>
      </w:rPr>
      <w:tblPr/>
      <w:tcPr>
        <w:tcBorders>
          <w:top w:color="auto" w:space="0" w:sz="4" w:val="single"/>
          <w:bottom w:color="auto" w:space="0" w:sz="4" w:val="single"/>
        </w:tcBorders>
        <w:shd w:color="auto" w:fill="BFBFBF" w:themeFill="background1" w:themeFillShade="BF" w:val="clear"/>
      </w:tcPr>
    </w:tblStylePr>
    <w:tblStylePr w:type="firstCol">
      <w:rPr>
        <w:b/>
      </w:r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autoRedefine/>
    <w:rsid w:val="00556B80"/>
    <w:pPr>
      <w:spacing w:after="120" w:before="0"/>
      <w:jc w:val="center"/>
    </w:pPr>
    <w:rPr>
      <w:i/>
    </w:rPr>
  </w:style>
  <w:style w:customStyle="1" w:styleId="TableCaption" w:type="paragraph">
    <w:name w:val="Table Caption"/>
    <w:basedOn w:val="Caption"/>
    <w:autoRedefine/>
    <w:rsid w:val="009F1910"/>
    <w:pPr>
      <w:keepNext/>
      <w:spacing w:before="240"/>
      <w:ind w:firstLine="0"/>
    </w:pPr>
  </w:style>
  <w:style w:customStyle="1" w:styleId="ImageCaption" w:type="paragraph">
    <w:name w:val="Image Caption"/>
    <w:basedOn w:val="Caption"/>
    <w:autoRedefine/>
    <w:qFormat/>
    <w:rsid w:val="009A350C"/>
    <w:pPr>
      <w:keepLines/>
      <w:spacing w:before="200"/>
      <w:ind w:firstLine="0"/>
      <w:jc w:val="both"/>
    </w:pPr>
  </w:style>
  <w:style w:customStyle="1" w:styleId="Figure" w:type="paragraph">
    <w:name w:val="Figure"/>
    <w:basedOn w:val="Normal"/>
    <w:autoRedefine/>
    <w:rsid w:val="001D0787"/>
    <w:pPr>
      <w:keepNext/>
      <w:spacing w:after="120" w:before="240" w:line="360" w:lineRule="auto"/>
      <w:ind w:firstLine="0"/>
      <w:jc w:val="center"/>
    </w:pPr>
    <w:rPr>
      <w:noProof/>
    </w:rPr>
  </w:style>
  <w:style w:customStyle="1" w:styleId="CaptionedFigure" w:type="paragraph">
    <w:name w:val="Captioned Figure"/>
    <w:basedOn w:val="Figure"/>
    <w:rsid w:val="00357B8B"/>
  </w:style>
  <w:style w:customStyle="1" w:styleId="CaptionChar" w:type="character">
    <w:name w:val="Caption Char"/>
    <w:basedOn w:val="DefaultParagraphFont"/>
    <w:link w:val="Caption"/>
    <w:rsid w:val="00556B80"/>
    <w:rPr>
      <w:i/>
    </w:rPr>
  </w:style>
  <w:style w:customStyle="1" w:styleId="VerbatimChar" w:type="character">
    <w:name w:val="Verbatim Char"/>
    <w:basedOn w:val="CaptionChar"/>
    <w:link w:val="SourceCode"/>
    <w:rsid w:val="00357B8B"/>
    <w:rPr>
      <w:i/>
      <w:shd w:color="auto" w:fill="F8F8F8" w:val="clear"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Pr>
      <w:i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rsid w:val="00357B8B"/>
    <w:pPr>
      <w:framePr w:hAnchor="text" w:vAnchor="text" w:wrap="around" w:y="1"/>
      <w:shd w:color="auto" w:fill="F8F8F8" w:val="clear"/>
      <w:wordWrap w:val="0"/>
      <w:spacing w:after="0" w:before="0" w:line="240" w:lineRule="auto"/>
      <w:ind w:firstLine="0"/>
    </w:pPr>
  </w:style>
  <w:style w:customStyle="1" w:styleId="KeywordTok" w:type="character">
    <w:name w:val="KeywordTok"/>
    <w:basedOn w:val="VerbatimChar"/>
    <w:rPr>
      <w:b/>
      <w:i/>
      <w:color w:val="204A87"/>
      <w:shd w:color="auto" w:fill="F8F8F8" w:val="clear"/>
    </w:rPr>
  </w:style>
  <w:style w:customStyle="1" w:styleId="DataTypeTok" w:type="character">
    <w:name w:val="DataTypeTok"/>
    <w:basedOn w:val="VerbatimChar"/>
    <w:rPr>
      <w:i/>
      <w:color w:val="204A87"/>
      <w:shd w:color="auto" w:fill="F8F8F8" w:val="clear"/>
    </w:rPr>
  </w:style>
  <w:style w:customStyle="1" w:styleId="DecValTok" w:type="character">
    <w:name w:val="DecValTok"/>
    <w:basedOn w:val="VerbatimChar"/>
    <w:rPr>
      <w:i/>
      <w:color w:val="0000CF"/>
      <w:shd w:color="auto" w:fill="F8F8F8" w:val="clear"/>
    </w:rPr>
  </w:style>
  <w:style w:customStyle="1" w:styleId="BaseNTok" w:type="character">
    <w:name w:val="BaseNTok"/>
    <w:basedOn w:val="VerbatimChar"/>
    <w:rPr>
      <w:i/>
      <w:color w:val="0000CF"/>
      <w:shd w:color="auto" w:fill="F8F8F8" w:val="clear"/>
    </w:rPr>
  </w:style>
  <w:style w:customStyle="1" w:styleId="FloatTok" w:type="character">
    <w:name w:val="FloatTok"/>
    <w:basedOn w:val="VerbatimChar"/>
    <w:rPr>
      <w:i/>
      <w:color w:val="0000CF"/>
      <w:shd w:color="auto" w:fill="F8F8F8" w:val="clear"/>
    </w:rPr>
  </w:style>
  <w:style w:customStyle="1" w:styleId="ConstantTok" w:type="character">
    <w:name w:val="ConstantTok"/>
    <w:basedOn w:val="VerbatimChar"/>
    <w:rPr>
      <w:i/>
      <w:color w:val="000000"/>
      <w:shd w:color="auto" w:fill="F8F8F8" w:val="clear"/>
    </w:rPr>
  </w:style>
  <w:style w:customStyle="1" w:styleId="CharTok" w:type="character">
    <w:name w:val="CharTok"/>
    <w:basedOn w:val="VerbatimChar"/>
    <w:rPr>
      <w:i/>
      <w:color w:val="4E9A06"/>
      <w:shd w:color="auto" w:fill="F8F8F8" w:val="clear"/>
    </w:rPr>
  </w:style>
  <w:style w:customStyle="1" w:styleId="SpecialCharTok" w:type="character">
    <w:name w:val="SpecialCharTok"/>
    <w:basedOn w:val="VerbatimChar"/>
    <w:rPr>
      <w:i/>
      <w:color w:val="000000"/>
      <w:shd w:color="auto" w:fill="F8F8F8" w:val="clear"/>
    </w:rPr>
  </w:style>
  <w:style w:customStyle="1" w:styleId="StringTok" w:type="character">
    <w:name w:val="StringTok"/>
    <w:basedOn w:val="VerbatimChar"/>
    <w:rPr>
      <w:i/>
      <w:color w:val="4E9A06"/>
      <w:shd w:color="auto" w:fill="F8F8F8" w:val="clear"/>
    </w:rPr>
  </w:style>
  <w:style w:customStyle="1" w:styleId="VerbatimStringTok" w:type="character">
    <w:name w:val="VerbatimStringTok"/>
    <w:basedOn w:val="VerbatimChar"/>
    <w:rPr>
      <w:i/>
      <w:color w:val="4E9A06"/>
      <w:shd w:color="auto" w:fill="F8F8F8" w:val="clear"/>
    </w:rPr>
  </w:style>
  <w:style w:customStyle="1" w:styleId="SpecialStringTok" w:type="character">
    <w:name w:val="SpecialStringTok"/>
    <w:basedOn w:val="VerbatimChar"/>
    <w:rPr>
      <w:i/>
      <w:color w:val="4E9A06"/>
      <w:shd w:color="auto" w:fill="F8F8F8" w:val="clear"/>
    </w:rPr>
  </w:style>
  <w:style w:customStyle="1" w:styleId="ImportTok" w:type="character">
    <w:name w:val="ImportTok"/>
    <w:basedOn w:val="VerbatimChar"/>
    <w:rPr>
      <w:i/>
      <w:shd w:color="auto" w:fill="F8F8F8" w:val="clear"/>
    </w:rPr>
  </w:style>
  <w:style w:customStyle="1" w:styleId="CommentTok" w:type="character">
    <w:name w:val="CommentTok"/>
    <w:basedOn w:val="VerbatimChar"/>
    <w:rPr>
      <w:i w:val="0"/>
      <w:color w:val="8F5902"/>
      <w:shd w:color="auto" w:fill="F8F8F8" w:val="clear"/>
    </w:rPr>
  </w:style>
  <w:style w:customStyle="1" w:styleId="DocumentationTok" w:type="character">
    <w:name w:val="DocumentationTok"/>
    <w:basedOn w:val="VerbatimChar"/>
    <w:rPr>
      <w:b/>
      <w:i w:val="0"/>
      <w:color w:val="8F5902"/>
      <w:shd w:color="auto" w:fill="F8F8F8" w:val="clear"/>
    </w:rPr>
  </w:style>
  <w:style w:customStyle="1" w:styleId="AnnotationTok" w:type="character">
    <w:name w:val="AnnotationTok"/>
    <w:basedOn w:val="VerbatimChar"/>
    <w:rPr>
      <w:b/>
      <w:i w:val="0"/>
      <w:color w:val="8F5902"/>
      <w:shd w:color="auto" w:fill="F8F8F8" w:val="clear"/>
    </w:rPr>
  </w:style>
  <w:style w:customStyle="1" w:styleId="CommentVarTok" w:type="character">
    <w:name w:val="CommentVarTok"/>
    <w:basedOn w:val="VerbatimChar"/>
    <w:rPr>
      <w:b/>
      <w:i w:val="0"/>
      <w:color w:val="8F5902"/>
      <w:shd w:color="auto" w:fill="F8F8F8" w:val="clear"/>
    </w:rPr>
  </w:style>
  <w:style w:customStyle="1" w:styleId="OtherTok" w:type="character">
    <w:name w:val="OtherTok"/>
    <w:basedOn w:val="VerbatimChar"/>
    <w:rPr>
      <w:i/>
      <w:color w:val="8F5902"/>
      <w:shd w:color="auto" w:fill="F8F8F8" w:val="clear"/>
    </w:rPr>
  </w:style>
  <w:style w:customStyle="1" w:styleId="FunctionTok" w:type="character">
    <w:name w:val="FunctionTok"/>
    <w:basedOn w:val="VerbatimChar"/>
    <w:rPr>
      <w:i/>
      <w:color w:val="000000"/>
      <w:shd w:color="auto" w:fill="F8F8F8" w:val="clear"/>
    </w:rPr>
  </w:style>
  <w:style w:customStyle="1" w:styleId="VariableTok" w:type="character">
    <w:name w:val="VariableTok"/>
    <w:basedOn w:val="VerbatimChar"/>
    <w:rPr>
      <w:i/>
      <w:color w:val="000000"/>
      <w:shd w:color="auto" w:fill="F8F8F8" w:val="clear"/>
    </w:rPr>
  </w:style>
  <w:style w:customStyle="1" w:styleId="ControlFlowTok" w:type="character">
    <w:name w:val="ControlFlowTok"/>
    <w:basedOn w:val="VerbatimChar"/>
    <w:rPr>
      <w:b/>
      <w:i/>
      <w:color w:val="204A87"/>
      <w:shd w:color="auto" w:fill="F8F8F8" w:val="clear"/>
    </w:rPr>
  </w:style>
  <w:style w:customStyle="1" w:styleId="OperatorTok" w:type="character">
    <w:name w:val="OperatorTok"/>
    <w:basedOn w:val="VerbatimChar"/>
    <w:rPr>
      <w:b/>
      <w:i/>
      <w:color w:val="CE5C00"/>
      <w:shd w:color="auto" w:fill="F8F8F8" w:val="clear"/>
    </w:rPr>
  </w:style>
  <w:style w:customStyle="1" w:styleId="BuiltInTok" w:type="character">
    <w:name w:val="BuiltInTok"/>
    <w:basedOn w:val="VerbatimChar"/>
    <w:rPr>
      <w:i/>
      <w:shd w:color="auto" w:fill="F8F8F8" w:val="clear"/>
    </w:rPr>
  </w:style>
  <w:style w:customStyle="1" w:styleId="ExtensionTok" w:type="character">
    <w:name w:val="ExtensionTok"/>
    <w:basedOn w:val="VerbatimChar"/>
    <w:rPr>
      <w:i/>
      <w:shd w:color="auto" w:fill="F8F8F8" w:val="clear"/>
    </w:rPr>
  </w:style>
  <w:style w:customStyle="1" w:styleId="PreprocessorTok" w:type="character">
    <w:name w:val="PreprocessorTok"/>
    <w:basedOn w:val="VerbatimChar"/>
    <w:rPr>
      <w:i w:val="0"/>
      <w:color w:val="8F5902"/>
      <w:shd w:color="auto" w:fill="F8F8F8" w:val="clear"/>
    </w:rPr>
  </w:style>
  <w:style w:customStyle="1" w:styleId="AttributeTok" w:type="character">
    <w:name w:val="AttributeTok"/>
    <w:basedOn w:val="VerbatimChar"/>
    <w:rPr>
      <w:i/>
      <w:color w:val="C4A000"/>
      <w:shd w:color="auto" w:fill="F8F8F8" w:val="clear"/>
    </w:rPr>
  </w:style>
  <w:style w:customStyle="1" w:styleId="RegionMarkerTok" w:type="character">
    <w:name w:val="RegionMarkerTok"/>
    <w:basedOn w:val="VerbatimChar"/>
    <w:rPr>
      <w:i/>
      <w:shd w:color="auto" w:fill="F8F8F8" w:val="clear"/>
    </w:rPr>
  </w:style>
  <w:style w:customStyle="1" w:styleId="InformationTok" w:type="character">
    <w:name w:val="InformationTok"/>
    <w:basedOn w:val="VerbatimChar"/>
    <w:rPr>
      <w:b/>
      <w:i w:val="0"/>
      <w:color w:val="8F5902"/>
      <w:shd w:color="auto" w:fill="F8F8F8" w:val="clear"/>
    </w:rPr>
  </w:style>
  <w:style w:customStyle="1" w:styleId="WarningTok" w:type="character">
    <w:name w:val="WarningTok"/>
    <w:basedOn w:val="VerbatimChar"/>
    <w:rPr>
      <w:b/>
      <w:i w:val="0"/>
      <w:color w:val="8F5902"/>
      <w:shd w:color="auto" w:fill="F8F8F8" w:val="clear"/>
    </w:rPr>
  </w:style>
  <w:style w:customStyle="1" w:styleId="AlertTok" w:type="character">
    <w:name w:val="AlertTok"/>
    <w:basedOn w:val="VerbatimChar"/>
    <w:rPr>
      <w:i/>
      <w:color w:val="EF2929"/>
      <w:shd w:color="auto" w:fill="F8F8F8" w:val="clear"/>
    </w:rPr>
  </w:style>
  <w:style w:customStyle="1" w:styleId="ErrorTok" w:type="character">
    <w:name w:val="ErrorTok"/>
    <w:basedOn w:val="VerbatimChar"/>
    <w:rPr>
      <w:b/>
      <w:i/>
      <w:color w:val="A40000"/>
      <w:shd w:color="auto" w:fill="F8F8F8" w:val="clear"/>
    </w:rPr>
  </w:style>
  <w:style w:customStyle="1" w:styleId="NormalTok" w:type="character">
    <w:name w:val="NormalTok"/>
    <w:basedOn w:val="VerbatimChar"/>
    <w:rPr>
      <w:i/>
      <w:shd w:color="auto" w:fill="F8F8F8" w:val="clear"/>
    </w:rPr>
  </w:style>
  <w:style w:customStyle="1" w:styleId="BodyTextChar" w:type="character">
    <w:name w:val="Body Text Char"/>
    <w:basedOn w:val="DefaultParagraphFont"/>
    <w:link w:val="BodyText"/>
    <w:rsid w:val="00475C52"/>
    <w:rPr>
      <w:rFonts w:ascii="Calibri" w:eastAsiaTheme="minorEastAsia" w:hAnsi="Calibri"/>
    </w:rPr>
  </w:style>
  <w:style w:customStyle="1" w:styleId="Image" w:type="paragraph">
    <w:name w:val="Image"/>
    <w:qFormat/>
    <w:rsid w:val="009F1910"/>
    <w:pPr>
      <w:keepNext/>
      <w:spacing w:after="120" w:before="240"/>
      <w:jc w:val="center"/>
    </w:pPr>
    <w:rPr>
      <w:rFonts w:ascii="Calibri" w:hAnsi="Calibri"/>
      <w:noProof/>
    </w:rPr>
  </w:style>
  <w:style w:customStyle="1" w:styleId="TableScientific" w:type="table">
    <w:name w:val="Table Scientific"/>
    <w:basedOn w:val="TableNormal"/>
    <w:uiPriority w:val="99"/>
    <w:rsid w:val="0043749A"/>
    <w:pPr>
      <w:spacing w:after="100" w:afterAutospacing="1" w:before="100" w:beforeAutospacing="1" w:line="360" w:lineRule="auto"/>
    </w:pPr>
    <w:rPr>
      <w:rFonts w:ascii="Calibri" w:cs="Times New Roman (Body CS)" w:eastAsiaTheme="minorEastAsia" w:hAnsi="Calibri"/>
      <w:sz w:val="22"/>
    </w:rPr>
    <w:tblPr>
      <w:jc w:val="center"/>
      <w:tblBorders>
        <w:bottom w:color="auto" w:space="0" w:sz="4" w:val="single"/>
      </w:tblBorders>
    </w:tblPr>
    <w:trPr>
      <w:jc w:val="center"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top w:color="auto" w:space="0" w:sz="4" w:val="single"/>
          <w:bottom w:color="auto" w:space="0" w:sz="4" w:val="single"/>
        </w:tcBorders>
        <w:shd w:color="auto" w:fill="F2F2F2" w:themeFill="background1" w:themeFillShade="F2" w:val="clear"/>
        <w:vAlign w:val="center"/>
      </w:tcPr>
    </w:tblStylePr>
    <w:tblStylePr w:type="lastRow">
      <w:rPr>
        <w:rFonts w:ascii="Calibri" w:hAnsi="Calibri"/>
      </w:rPr>
      <w:tblPr/>
      <w:tcPr>
        <w:tcBorders>
          <w:bottom w:color="auto" w:space="0" w:sz="4" w:val="single"/>
        </w:tcBorders>
      </w:tcPr>
    </w:tblStylePr>
    <w:tblStylePr w:type="lastCol">
      <w:pPr>
        <w:keepNext/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</w:pPr>
      <w:rPr>
        <w:rFonts w:ascii="Calibri" w:eastAsia="SimSun" w:hAnsi="Calibri"/>
      </w:rPr>
      <w:tblPr/>
      <w:tcPr>
        <w:tcBorders>
          <w:bottom w:val="nil"/>
        </w:tcBorders>
      </w:tcPr>
    </w:tblStylePr>
  </w:style>
  <w:style w:styleId="PlainTable1" w:type="table">
    <w:name w:val="Plain Table 1"/>
    <w:basedOn w:val="TableNormal"/>
    <w:rsid w:val="00300D72"/>
    <w:pPr>
      <w:spacing w:after="0"/>
    </w:pPr>
    <w:tblPr>
      <w:tblStyleRowBandSize w:val="1"/>
      <w:tblStyleColBandSize w:val="1"/>
      <w:tblBorders>
        <w:top w:color="BFBFBF" w:space="0" w:sz="4" w:themeColor="background1" w:themeShade="BF" w:val="single"/>
        <w:left w:color="BFBFBF" w:space="0" w:sz="4" w:themeColor="background1" w:themeShade="BF" w:val="single"/>
        <w:bottom w:color="BFBFBF" w:space="0" w:sz="4" w:themeColor="background1" w:themeShade="BF" w:val="single"/>
        <w:right w:color="BFBFBF" w:space="0" w:sz="4" w:themeColor="background1" w:themeShade="BF" w:val="single"/>
        <w:insideH w:color="BFBFBF" w:space="0" w:sz="4" w:themeColor="background1" w:themeShade="BF" w:val="single"/>
        <w:insideV w:color="BFBFBF" w:space="0" w:sz="4" w:themeColor="background1" w:themeShade="BF" w:val="singl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FBFBF" w:space="0" w:sz="4" w:themeColor="background1" w:themeShade="BF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</w:style>
  <w:style w:styleId="PlainTable3" w:type="table">
    <w:name w:val="Plain Table 3"/>
    <w:basedOn w:val="TableNormal"/>
    <w:rsid w:val="00300D7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color="7F7F7F" w:space="0" w:sz="4" w:themeColor="text1" w:themeTint="80" w:val="singl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color="7F7F7F" w:space="0" w:sz="4" w:themeColor="text1" w:themeTint="80" w:val="singl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Table1" w:type="table">
    <w:name w:val="Table1"/>
    <w:basedOn w:val="TableNormal"/>
    <w:uiPriority w:val="99"/>
    <w:rsid w:val="0043749A"/>
    <w:pPr>
      <w:spacing w:after="0"/>
      <w:jc w:val="center"/>
    </w:pPr>
    <w:tblPr>
      <w:tblBorders>
        <w:top w:color="auto" w:space="0" w:sz="4" w:val="single"/>
        <w:bottom w:color="auto" w:space="0" w:sz="4" w:val="single"/>
      </w:tblBorders>
    </w:tblPr>
    <w:tcPr>
      <w:noWrap/>
      <w:vAlign w:val="center"/>
    </w:tcPr>
    <w:tblStylePr w:type="firstRow">
      <w:rPr>
        <w:b/>
      </w:rPr>
      <w:tblPr/>
      <w:tcPr>
        <w:tcBorders>
          <w:bottom w:color="auto" w:space="0" w:sz="4" w:val="single"/>
        </w:tcBorders>
      </w:tcPr>
    </w:tblStylePr>
    <w:tblStylePr w:type="firstCol">
      <w:pPr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  <w:jc w:val="left"/>
        <w:textboxTightWrap w:val="allLines"/>
        <w:outlineLvl w:val="9"/>
      </w:pPr>
      <w:rPr>
        <w:b/>
      </w:rPr>
    </w:tblStylePr>
  </w:style>
  <w:style w:styleId="LineNumber" w:type="character">
    <w:name w:val="line number"/>
    <w:basedOn w:val="DefaultParagraphFont"/>
    <w:semiHidden/>
    <w:unhideWhenUsed/>
    <w:rsid w:val="00D3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mailto:yangmin@rcees.ac.c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mailto:yangmin@rcees.ac.c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for identification of MIB producers using routine data: a case study of an estuary drinking water reservoir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Mitigating harmful cyanobacterial blooms in drinking water reservoirs through in-situ sediment resuspension</dc:title>
  <dc:creator/>
  <dc:language>en</dc:language>
  <cp:keywords/>
  <dcterms:created xsi:type="dcterms:W3CDTF">2024-10-08T15:40:40Z</dcterms:created>
  <dcterms:modified xsi:type="dcterms:W3CDTF">2024-10-08T15:40:40Z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comments">
    <vt:lpwstr/>
  </property>
  <property fmtid="{D5CDD505-2E9C-101B-9397-08002B2CF9AE}" pid="5" name="crossref">
    <vt:lpwstr/>
  </property>
  <property fmtid="{D5CDD505-2E9C-101B-9397-08002B2CF9AE}" pid="6" name="date">
    <vt:lpwstr>2024-07-30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ubmitid">
    <vt:lpwstr>WR84978</vt:lpwstr>
  </property>
  <property fmtid="{D5CDD505-2E9C-101B-9397-08002B2CF9AE}" pid="12" name="submitjournal">
    <vt:lpwstr>Water Research</vt:lpwstr>
  </property>
  <property fmtid="{D5CDD505-2E9C-101B-9397-08002B2CF9AE}" pid="13" name="toc-title">
    <vt:lpwstr>Table of contents</vt:lpwstr>
  </property>
</Properties>
</file>