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tiff" ContentType="image/tiff"/>
  <Override PartName="/word/media/rId65.tiff" ContentType="image/tiff"/>
  <Override PartName="/word/media/rId49.png" ContentType="image/png"/>
  <Override PartName="/word/media/rId53.png" ContentType="image/png"/>
  <Override PartName="/word/media/rId41.png" ContentType="image/png"/>
  <Override PartName="/word/media/rId45.png" ContentType="image/png"/>
  <Override PartName="/word/media/rId57.png" ContentType="image/png"/>
  <Override PartName="/word/media/rId21.tiff" ContentType="image/tiff"/>
  <Override PartName="/word/media/rId33.png" ContentType="image/png"/>
  <Override PartName="/word/media/rId29.png" ContentType="image/png"/>
  <Override PartName="/word/media/rId61.tiff" ContentType="image/tiff"/>
  <Override PartName="/word/media/rId3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Early</w:t>
      </w:r>
      <w:r>
        <w:t xml:space="preserve"> </w:t>
      </w:r>
      <w:r>
        <w:t xml:space="preserve">warning</w:t>
      </w:r>
      <w:r>
        <w:t xml:space="preserve"> </w:t>
      </w:r>
      <w:r>
        <w:t xml:space="preserve">of</w:t>
      </w:r>
      <w:r>
        <w:t xml:space="preserve"> </w:t>
      </w:r>
      <w:r>
        <w:t xml:space="preserve">MIB</w:t>
      </w:r>
      <w:r>
        <w:t xml:space="preserve"> </w:t>
      </w:r>
      <w:r>
        <w:t xml:space="preserve">episode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gene</w:t>
      </w:r>
      <w:r>
        <w:t xml:space="preserve"> </w:t>
      </w:r>
      <w:r>
        <w:t xml:space="preserve">abundance</w:t>
      </w:r>
      <w:r>
        <w:t xml:space="preserve"> </w:t>
      </w:r>
      <w:r>
        <w:t xml:space="preserve">and</w:t>
      </w:r>
      <w:r>
        <w:t xml:space="preserve"> </w:t>
      </w:r>
      <w:r>
        <w:t xml:space="preserve">expression</w:t>
      </w:r>
      <w:r>
        <w:t xml:space="preserve"> </w:t>
      </w:r>
      <w:r>
        <w:t xml:space="preserve">in</w:t>
      </w:r>
      <w:r>
        <w:t xml:space="preserve"> </w:t>
      </w:r>
      <w:r>
        <w:t xml:space="preserve">drinking</w:t>
      </w:r>
      <w:r>
        <w:t xml:space="preserve"> </w:t>
      </w:r>
      <w:r>
        <w:t xml:space="preserve">water</w:t>
      </w:r>
      <w:r>
        <w:t xml:space="preserve"> </w:t>
      </w:r>
      <w:r>
        <w:t xml:space="preserve">reservoirs</w:t>
      </w:r>
    </w:p>
    <w:p>
      <w:pPr>
        <w:pStyle w:val="FirstParagraph"/>
      </w:pPr>
      <w:r>
        <w:t xml:space="preserve">Tengxin Cao</w:t>
      </w:r>
      <w:r>
        <w:rPr>
          <w:vertAlign w:val="superscript"/>
        </w:rPr>
        <w:t xml:space="preserve">1,6,7</w:t>
      </w:r>
      <w:r>
        <w:t xml:space="preserve">, </w:t>
      </w:r>
      <w:r>
        <w:t xml:space="preserve">Jiao Fang</w:t>
      </w:r>
      <w:r>
        <w:rPr>
          <w:vertAlign w:val="superscript"/>
        </w:rPr>
        <w:t xml:space="preserve">1</w:t>
      </w:r>
      <w:r>
        <w:t xml:space="preserve">, </w:t>
      </w:r>
      <w:r>
        <w:t xml:space="preserve">Zeyu Jia</w:t>
      </w:r>
      <w:r>
        <w:rPr>
          <w:vertAlign w:val="superscript"/>
        </w:rPr>
        <w:t xml:space="preserve">3,1</w:t>
      </w:r>
      <w:r>
        <w:t xml:space="preserve">, </w:t>
      </w:r>
      <w:r>
        <w:t xml:space="preserve">Yiping Zhu</w:t>
      </w:r>
      <w:r>
        <w:rPr>
          <w:vertAlign w:val="superscript"/>
        </w:rPr>
        <w:t xml:space="preserve">4</w:t>
      </w:r>
      <w:r>
        <w:t xml:space="preserve">, </w:t>
      </w:r>
      <w:r>
        <w:t xml:space="preserve">Ming Su</w:t>
      </w:r>
      <w:r>
        <w:rPr>
          <w:vertAlign w:val="superscript"/>
        </w:rPr>
        <w:t xml:space="preserve">1,2,7,*</w:t>
      </w:r>
      <w:r>
        <w:t xml:space="preserve">, </w:t>
      </w:r>
      <w:r>
        <w:t xml:space="preserve">Qi Zhang</w:t>
      </w:r>
      <w:r>
        <w:rPr>
          <w:vertAlign w:val="superscript"/>
        </w:rPr>
        <w:t xml:space="preserve">5</w:t>
      </w:r>
      <w:r>
        <w:t xml:space="preserve">, </w:t>
      </w:r>
      <w:r>
        <w:t xml:space="preserve">Yichao Song</w:t>
      </w:r>
      <w:r>
        <w:rPr>
          <w:vertAlign w:val="superscript"/>
        </w:rPr>
        <w:t xml:space="preserve">4</w:t>
      </w:r>
      <w:r>
        <w:t xml:space="preserve">, </w:t>
      </w:r>
      <w:r>
        <w:t xml:space="preserve">Jianwei Yu</w:t>
      </w:r>
      <w:r>
        <w:rPr>
          <w:vertAlign w:val="superscript"/>
        </w:rPr>
        <w:t xml:space="preserve">1,2,7</w:t>
      </w:r>
      <w:r>
        <w:t xml:space="preserve">, </w:t>
      </w:r>
      <w:r>
        <w:t xml:space="preserve">Min Yang</w:t>
      </w:r>
      <w:r>
        <w:rPr>
          <w:vertAlign w:val="superscript"/>
        </w:rPr>
        <w:t xml:space="preserve">2,1,7,*</w:t>
      </w:r>
    </w:p>
    <w:p>
      <w:pPr>
        <w:pStyle w:val="BodyText"/>
      </w:pPr>
      <w:r>
        <w:t xml:space="preserve">1. Key Laboratory of Drinking Water Science and Technology, Research Center for Eco-Environmental Sciences, Chinese Academy of Sciences, P.O. Box 2871, Beijing, 100085.</w:t>
      </w:r>
    </w:p>
    <w:p>
      <w:pPr>
        <w:pStyle w:val="BodyText"/>
      </w:pPr>
      <w:r>
        <w:t xml:space="preserve">2. National Engineering Research Center of Industrial Wastewater Detoxication and Resource Recovery, Research Center for Eco-Environmental Sciences, Chinese Academy of Sciences, P.O. Box 2871, Beijing, 100085.</w:t>
      </w:r>
    </w:p>
    <w:p>
      <w:pPr>
        <w:pStyle w:val="BodyText"/>
      </w:pPr>
      <w:r>
        <w:t xml:space="preserve">3. Yangtze Eco-Environment Engineering Research Center, China Three Gorges Corporation, Beijing, 100038.</w:t>
      </w:r>
    </w:p>
    <w:p>
      <w:pPr>
        <w:pStyle w:val="BodyText"/>
      </w:pPr>
      <w:r>
        <w:t xml:space="preserve">4. Shanghai Chengtou Raw Water Co. Ltd., Beiai Rd. 1540, Shanghai, 200125.</w:t>
      </w:r>
    </w:p>
    <w:p>
      <w:pPr>
        <w:pStyle w:val="BodyText"/>
      </w:pPr>
      <w:r>
        <w:t xml:space="preserve">5. Institute of Hydrobiology, Chinese Academy of Sciences, No. 7 Donghu South Road, Wuchang, Wuhan, 430072.</w:t>
      </w:r>
    </w:p>
    <w:p>
      <w:pPr>
        <w:pStyle w:val="BodyText"/>
      </w:pPr>
      <w:r>
        <w:t xml:space="preserve">6. Sino-Danish College, University of Chinese Academy of Sciences, Beijing, 100049.</w:t>
      </w:r>
    </w:p>
    <w:p>
      <w:pPr>
        <w:pStyle w:val="BodyText"/>
      </w:pPr>
      <w:r>
        <w:t xml:space="preserve">7. University of Chinese Academy of Sciences, Beijing, 100049.</w:t>
      </w:r>
    </w:p>
    <w:p>
      <w:pPr>
        <w:pStyle w:val="BodyText"/>
      </w:pPr>
      <w:r>
        <w:t xml:space="preserve">* Corresponding Author: Min Yang (</w:t>
      </w:r>
      <w:hyperlink r:id="rId20">
        <w:r>
          <w:rPr>
            <w:rStyle w:val="Hyperlink"/>
          </w:rPr>
          <w:t xml:space="preserve">yangmin@rcees.ac.cn</w:t>
        </w:r>
      </w:hyperlink>
      <w:r>
        <w:t xml:space="preserve">)</w:t>
      </w:r>
    </w:p>
    <w:bookmarkStart w:id="71" w:name="supplementarty-material"/>
    <w:p>
      <w:pPr>
        <w:pStyle w:val="Heading1"/>
      </w:pPr>
      <w:r>
        <w:t xml:space="preserve">Supplementarty Material</w:t>
      </w:r>
    </w:p>
    <w:p>
      <w:pPr>
        <w:pStyle w:val="FirstParagraph"/>
      </w:pPr>
      <w:r>
        <w:t xml:space="preserve">Figures and/or tables are provided below as the supplemenatary evidences to the main text.</w:t>
      </w:r>
    </w:p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qcsmapwithsites"/>
          <w:p>
            <w:pPr>
              <w:pStyle w:val="Compact"/>
              <w:jc w:val="center"/>
            </w:pPr>
            <w:r>
              <w:drawing>
                <wp:inline>
                  <wp:extent cx="3451860" cy="182638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./figures/qcsmapwithsites.tif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82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 Map and sampling sites of QCS Reservoir</w:t>
            </w:r>
          </w:p>
          <w:bookmarkEnd w:id="2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fig-bathy"/>
          <w:p>
            <w:pPr>
              <w:pStyle w:val="Compact"/>
              <w:jc w:val="center"/>
            </w:pPr>
            <w:r>
              <w:drawing>
                <wp:inline>
                  <wp:extent cx="4602480" cy="2469997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./figures/bathy.tif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4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2 Bathymetry of QCS Reservoir</w:t>
            </w:r>
          </w:p>
          <w:bookmarkEnd w:id="28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qpcrstdcurve"/>
          <w:p>
            <w:pPr>
              <w:pStyle w:val="Compact"/>
              <w:jc w:val="center"/>
            </w:pPr>
            <w:r>
              <w:drawing>
                <wp:inline>
                  <wp:extent cx="3834384" cy="2584704"/>
                  <wp:effectExtent b="0" l="0" r="0" t="0"/>
                  <wp:docPr descr="" title="" id="30" name="Picture"/>
                  <a:graphic>
                    <a:graphicData uri="http://schemas.openxmlformats.org/drawingml/2006/picture">
                      <pic:pic>
                        <pic:nvPicPr>
                          <pic:cNvPr descr="./figures/qpcrstdcurve.png" id="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384" cy="258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3 Standard curve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quantification. The correlation between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and Cq was:</w:t>
            </w:r>
            <w:r>
              <w:t xml:space="preserve"> </w:t>
            </w:r>
            <m:oMath>
              <m:r>
                <m:t>C</m:t>
              </m:r>
              <m:r>
                <m:t>q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3.4537</m:t>
              </m:r>
              <m:r>
                <m:t>l</m:t>
              </m:r>
              <m:r>
                <m:t>g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sSub>
                    <m:e>
                      <m:r>
                        <m:t>c</m:t>
                      </m:r>
                    </m:e>
                    <m:sub>
                      <m:r>
                        <m:t>m</m:t>
                      </m:r>
                      <m:r>
                        <m:t>i</m:t>
                      </m:r>
                      <m:r>
                        <m:t>c</m:t>
                      </m:r>
                    </m:sub>
                  </m:sSub>
                </m:e>
              </m:d>
              <m:r>
                <m:rPr>
                  <m:sty m:val="p"/>
                </m:rPr>
                <m:t>+</m:t>
              </m:r>
              <m:r>
                <m:t>40.13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sSup>
                    <m:e>
                      <m:r>
                        <m:t>R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=</m:t>
                  </m:r>
                  <m:r>
                    <m:t>0.999</m:t>
                  </m:r>
                  <m:r>
                    <m:rPr>
                      <m:sty m:val="p"/>
                    </m:rPr>
                    <m:t>,</m:t>
                  </m:r>
                  <m:r>
                    <m:t>p</m:t>
                  </m:r>
                  <m:r>
                    <m:rPr>
                      <m:sty m:val="p"/>
                    </m:rPr>
                    <m:t>&lt;</m:t>
                  </m:r>
                  <m:r>
                    <m:t>0.0001</m:t>
                  </m:r>
                </m:e>
              </m:d>
            </m:oMath>
          </w:p>
          <w:bookmarkEnd w:id="32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6" w:name="fig-qpcramplication"/>
          <w:p>
            <w:pPr>
              <w:pStyle w:val="Compact"/>
              <w:jc w:val="center"/>
            </w:pPr>
            <w:r>
              <w:drawing>
                <wp:inline>
                  <wp:extent cx="4602480" cy="2025642"/>
                  <wp:effectExtent b="0" l="0" r="0" t="0"/>
                  <wp:docPr descr="" title="" id="34" name="Picture"/>
                  <a:graphic>
                    <a:graphicData uri="http://schemas.openxmlformats.org/drawingml/2006/picture">
                      <pic:pic>
                        <pic:nvPicPr>
                          <pic:cNvPr descr="./figures/qpcramplication.png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0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4 Amplification curves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qPCR</w:t>
            </w:r>
          </w:p>
          <w:bookmarkEnd w:id="36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" w:name="fig-templight"/>
          <w:p>
            <w:pPr>
              <w:pStyle w:val="Compact"/>
              <w:jc w:val="center"/>
            </w:pPr>
            <w:r>
              <w:drawing>
                <wp:inline>
                  <wp:extent cx="4602480" cy="2295757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./figures/templight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29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5 Dynamics of water temperature and light irradiance during the MIB episode in QCS Reservoir in 2021</w:t>
            </w:r>
          </w:p>
          <w:bookmarkEnd w:id="40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phytonmds"/>
          <w:p>
            <w:pPr>
              <w:pStyle w:val="Compact"/>
              <w:jc w:val="center"/>
            </w:pPr>
            <w:r>
              <w:drawing>
                <wp:inline>
                  <wp:extent cx="5753100" cy="270169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./figures/phytonmds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70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6 Dynamics of phytoplankton communities in QCS Reservoir in 2021</w:t>
            </w:r>
          </w:p>
          <w:bookmarkEnd w:id="4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8" w:name="fig-pseudmib"/>
          <w:p>
            <w:pPr>
              <w:pStyle w:val="Compact"/>
              <w:jc w:val="center"/>
            </w:pPr>
            <w:r>
              <w:drawing>
                <wp:inline>
                  <wp:extent cx="3451860" cy="3451860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./figures/pseudmib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7 Correlation between MIB concentration and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cell density</w:t>
            </w:r>
          </w:p>
          <w:bookmarkEnd w:id="48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2" w:name="fig-isolationsimg"/>
          <w:p>
            <w:pPr>
              <w:pStyle w:val="Compact"/>
              <w:jc w:val="center"/>
            </w:pPr>
            <w:r>
              <w:drawing>
                <wp:inline>
                  <wp:extent cx="4602480" cy="1402132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./figures/isolations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140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8 Images of isolated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strains (A:</w:t>
            </w:r>
            <w:r>
              <w:t xml:space="preserve"> </w:t>
            </w:r>
            <w:r>
              <w:rPr>
                <w:i/>
                <w:iCs/>
              </w:rPr>
              <w:t xml:space="preserve">P. cinerea</w:t>
            </w:r>
            <w:r>
              <w:t xml:space="preserve">; B:</w:t>
            </w:r>
            <w:r>
              <w:t xml:space="preserve"> </w:t>
            </w:r>
            <w:r>
              <w:rPr>
                <w:i/>
                <w:iCs/>
              </w:rPr>
              <w:t xml:space="preserve">P. limnetica</w:t>
            </w:r>
            <w:r>
              <w:t xml:space="preserve">; C:</w:t>
            </w:r>
            <w:r>
              <w:t xml:space="preserve"> </w:t>
            </w:r>
            <w:r>
              <w:rPr>
                <w:i/>
                <w:iCs/>
              </w:rPr>
              <w:t xml:space="preserve">P. catenate</w:t>
            </w:r>
            <w:r>
              <w:t xml:space="preserve">)</w:t>
            </w:r>
          </w:p>
          <w:bookmarkEnd w:id="52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6" w:name="fig-liminologymiccorrelation"/>
          <w:p>
            <w:pPr>
              <w:pStyle w:val="Compact"/>
              <w:jc w:val="center"/>
            </w:pPr>
            <w:r>
              <w:drawing>
                <wp:inline>
                  <wp:extent cx="4602480" cy="6043381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./figures/liminologymiccorrelation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604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9 Correlation between DNA or RNA abundance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and water temperature (A, B), TN (C, D), and TP (E, F), respectively, in QC10 during the MIB episode</w:t>
            </w:r>
          </w:p>
          <w:bookmarkEnd w:id="56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qcslightdynamics"/>
          <w:p>
            <w:pPr>
              <w:pStyle w:val="Compact"/>
              <w:jc w:val="center"/>
            </w:pPr>
            <w:r>
              <w:drawing>
                <wp:inline>
                  <wp:extent cx="4602480" cy="3572360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./figures/qcslightdynamics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5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10 The mean light intentisy of the underwater column in QCS Reservoir during the MIB episode in 2021</w:t>
            </w:r>
          </w:p>
          <w:bookmarkEnd w:id="60"/>
        </w:tc>
      </w:tr>
    </w:tbl>
    <w:p>
      <w:r>
        <w:br w:type="page"/>
      </w:r>
    </w:p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4" w:name="fig-tempcontour"/>
          <w:p>
            <w:pPr>
              <w:pStyle w:val="Compact"/>
              <w:jc w:val="center"/>
            </w:pPr>
            <w:r>
              <w:drawing>
                <wp:inline>
                  <wp:extent cx="3451860" cy="1972491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./figures/tempcontour.tif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97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11 Temperature dynamics in QCS Reservoir</w:t>
            </w:r>
          </w:p>
          <w:bookmarkEnd w:id="64"/>
        </w:tc>
      </w:tr>
    </w:tbl>
    <w:p>
      <w:r>
        <w:br w:type="page"/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8" w:name="fig-fieldverification"/>
          <w:p>
            <w:pPr>
              <w:pStyle w:val="Compact"/>
              <w:jc w:val="center"/>
            </w:pPr>
            <w:r>
              <w:drawing>
                <wp:inline>
                  <wp:extent cx="4602480" cy="1741132"/>
                  <wp:effectExtent b="0" l="0" r="0" t="0"/>
                  <wp:docPr descr="" title="" id="66" name="Picture"/>
                  <a:graphic>
                    <a:graphicData uri="http://schemas.openxmlformats.org/drawingml/2006/picture">
                      <pic:pic>
                        <pic:nvPicPr>
                          <pic:cNvPr descr="./figures/fieldverification.tif" id="6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174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Fig. 12 Dynamics of MIB concentration and DNA abundance of</w:t>
            </w:r>
            <w:r>
              <w:t xml:space="preserve"> </w:t>
            </w:r>
            <w:r>
              <w:rPr>
                <w:i/>
                <w:iCs/>
              </w:rPr>
              <w:t xml:space="preserve">mic</w:t>
            </w:r>
            <w:r>
              <w:t xml:space="preserve"> </w:t>
            </w:r>
            <w:r>
              <w:t xml:space="preserve">gene in JZ Reservoir (A) and LH Reservoir (B), respectively.</w:t>
            </w:r>
          </w:p>
          <w:bookmarkEnd w:id="68"/>
        </w:tc>
      </w:tr>
    </w:tbl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9" w:name="tbl-samplingsite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1 Distribution of sampling sites in 4 regions of QCS Reservoir</w:t>
            </w:r>
          </w:p>
          <w:tbl>
            <w:tblPr>
              <w:tblStyle w:val="Table"/>
              <w:tblW w:type="pct" w:w="4500"/>
              <w:tblLayout w:type="fixed"/>
              <w:tblLook w:firstRow="1" w:lastRow="0" w:firstColumn="0" w:lastColumn="0" w:noHBand="0" w:noVBand="0" w:val="0020"/>
            </w:tblPr>
            <w:tblGrid>
              <w:gridCol w:w="3960"/>
              <w:gridCol w:w="3168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Sampling sites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Regions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QC05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Upstream river water (URW)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QC17, QC12, QC10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North branch (NB)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QC14, QC15, QC23, QC11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South branch (SB)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QC18,QC22,QC25,QC09,QC08,QC19,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Middle section (MS)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QC20,QC02,QC07,QC06,QC01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</w:tbl>
          <w:bookmarkEnd w:id="69"/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0" w:name="tbl-isolations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2 Three stains of</w:t>
            </w:r>
            <w:r>
              <w:t xml:space="preserve"> </w:t>
            </w:r>
            <w:r>
              <w:rPr>
                <w:i/>
                <w:iCs/>
              </w:rPr>
              <w:t xml:space="preserve">Pseudanabaena</w:t>
            </w:r>
            <w:r>
              <w:t xml:space="preserve"> </w:t>
            </w:r>
            <w:r>
              <w:t xml:space="preserve">isolated from QCS Reservoir. Taxonomic classification was identified by 16S rRNA gene sequencing and blasted with NCBI database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584"/>
              <w:gridCol w:w="1584"/>
              <w:gridCol w:w="1584"/>
              <w:gridCol w:w="1584"/>
              <w:gridCol w:w="158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Isolation ID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Identification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Similarity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MIB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Accession number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cinerea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1.0000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+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ON571433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limnetica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0.9986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-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ON553403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rPr>
                      <w:i/>
                      <w:iCs/>
                    </w:rPr>
                    <w:t xml:space="preserve">P. catenate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0.9961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-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ON571434</w:t>
                  </w:r>
                </w:p>
              </w:tc>
            </w:tr>
          </w:tbl>
          <w:bookmarkEnd w:id="70"/>
          <w:p/>
        </w:tc>
      </w:tr>
    </w:tbl>
    <w:bookmarkEnd w:id="71"/>
    <w:sectPr w:rsidR="00C83DEB" w:rsidRPr="009A350C" w:rsidSect="00D34A99">
      <w:type w:val="continuous"/>
      <w:pgSz w:h="16848" w:w="11952"/>
      <w:pgMar w:bottom="1440" w:footer="720" w:gutter="720" w:header="720" w:left="1440" w:right="1440" w:top="1440"/>
      <w:lnNumType w:countBy="1" w:restart="continuous"/>
      <w:cols w:space="720"/>
      <w:docGrid w:linePitch="32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EA454B4C"/>
    <w:multiLevelType w:val="multilevel"/>
    <w:tmpl w:val="17A2F78A"/>
    <w:lvl w:ilvl="0">
      <w:numFmt w:val="bullet"/>
      <w:lvlText w:val="•"/>
      <w:lvlJc w:val="left"/>
      <w:pPr>
        <w:tabs>
          <w:tab w:pos="0" w:val="num"/>
        </w:tabs>
        <w:ind w:hanging="480" w:left="480"/>
      </w:pPr>
    </w:lvl>
    <w:lvl w:ilvl="1">
      <w:numFmt w:val="bullet"/>
      <w:lvlText w:val="–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•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–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•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–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•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–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•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">
    <w:nsid w:val="FFFFFF7C"/>
    <w:multiLevelType w:val="singleLevel"/>
    <w:tmpl w:val="35BCE13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2">
    <w:nsid w:val="FFFFFF7D"/>
    <w:multiLevelType w:val="singleLevel"/>
    <w:tmpl w:val="17ACA35A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3">
    <w:nsid w:val="FFFFFF7E"/>
    <w:multiLevelType w:val="singleLevel"/>
    <w:tmpl w:val="305208B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4">
    <w:nsid w:val="FFFFFF7F"/>
    <w:multiLevelType w:val="singleLevel"/>
    <w:tmpl w:val="538C7DB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5">
    <w:nsid w:val="FFFFFF80"/>
    <w:multiLevelType w:val="singleLevel"/>
    <w:tmpl w:val="520CF04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6">
    <w:nsid w:val="FFFFFF81"/>
    <w:multiLevelType w:val="singleLevel"/>
    <w:tmpl w:val="E05CA962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7">
    <w:nsid w:val="FFFFFF82"/>
    <w:multiLevelType w:val="singleLevel"/>
    <w:tmpl w:val="91027A6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8">
    <w:nsid w:val="FFFFFF83"/>
    <w:multiLevelType w:val="singleLevel"/>
    <w:tmpl w:val="6DB2BCF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9">
    <w:nsid w:val="FFFFFF88"/>
    <w:multiLevelType w:val="singleLevel"/>
    <w:tmpl w:val="985C776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10">
    <w:nsid w:val="FFFFFF89"/>
    <w:multiLevelType w:val="singleLevel"/>
    <w:tmpl w:val="D5CEBA9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1">
    <w:nsid w:val="0000A990"/>
    <w:multiLevelType w:val="multilevel"/>
    <w:tmpl w:val="ECD0910E"/>
    <w:lvl w:ilvl="0">
      <w:numFmt w:val="bullet"/>
      <w:lvlText w:val=" "/>
      <w:lvlJc w:val="left"/>
      <w:pPr>
        <w:ind w:hanging="480" w:left="720"/>
      </w:pPr>
    </w:lvl>
    <w:lvl w:ilvl="1">
      <w:numFmt w:val="bullet"/>
      <w:lvlText w:val=" "/>
      <w:lvlJc w:val="left"/>
      <w:pPr>
        <w:ind w:hanging="480" w:left="1440"/>
      </w:pPr>
    </w:lvl>
    <w:lvl w:ilvl="2">
      <w:numFmt w:val="bullet"/>
      <w:lvlText w:val=" "/>
      <w:lvlJc w:val="left"/>
      <w:pPr>
        <w:ind w:hanging="480" w:left="2160"/>
      </w:pPr>
    </w:lvl>
    <w:lvl w:ilvl="3">
      <w:numFmt w:val="bullet"/>
      <w:lvlText w:val=" "/>
      <w:lvlJc w:val="left"/>
      <w:pPr>
        <w:ind w:hanging="480" w:left="2880"/>
      </w:pPr>
    </w:lvl>
    <w:lvl w:ilvl="4">
      <w:numFmt w:val="bullet"/>
      <w:lvlText w:val=" "/>
      <w:lvlJc w:val="left"/>
      <w:pPr>
        <w:ind w:hanging="480" w:left="3600"/>
      </w:pPr>
    </w:lvl>
    <w:lvl w:ilvl="5">
      <w:numFmt w:val="bullet"/>
      <w:lvlText w:val=" "/>
      <w:lvlJc w:val="left"/>
      <w:pPr>
        <w:ind w:hanging="480" w:left="4320"/>
      </w:pPr>
    </w:lvl>
    <w:lvl w:ilvl="6">
      <w:numFmt w:val="bullet"/>
      <w:lvlText w:val=" "/>
      <w:lvlJc w:val="left"/>
      <w:pPr>
        <w:ind w:hanging="480" w:left="5040"/>
      </w:pPr>
    </w:lvl>
    <w:lvl w:ilvl="7">
      <w:numFmt w:val="bullet"/>
      <w:lvlText w:val=" "/>
      <w:lvlJc w:val="left"/>
      <w:pPr>
        <w:ind w:hanging="480" w:left="5760"/>
      </w:pPr>
    </w:lvl>
    <w:lvl w:ilvl="8">
      <w:numFmt w:val="bullet"/>
      <w:lvlText w:val=" "/>
      <w:lvlJc w:val="left"/>
      <w:pPr>
        <w:ind w:hanging="480" w:left="6480"/>
      </w:pPr>
    </w:lvl>
  </w:abstractNum>
  <w:abstractNum w15:restartNumberingAfterBreak="0" w:abstractNumId="12">
    <w:nsid w:val="00A99421"/>
    <w:multiLevelType w:val="multilevel"/>
    <w:tmpl w:val="3592AE20"/>
    <w:lvl w:ilvl="0">
      <w:start w:val="1"/>
      <w:numFmt w:val="decimal"/>
      <w:lvlText w:val="%1)"/>
      <w:lvlJc w:val="left"/>
      <w:pPr>
        <w:ind w:hanging="480" w:left="720"/>
      </w:pPr>
    </w:lvl>
    <w:lvl w:ilvl="1">
      <w:start w:val="1"/>
      <w:numFmt w:val="decimal"/>
      <w:lvlText w:val="%2)"/>
      <w:lvlJc w:val="left"/>
      <w:pPr>
        <w:ind w:hanging="480" w:left="1440"/>
      </w:pPr>
    </w:lvl>
    <w:lvl w:ilvl="2">
      <w:start w:val="1"/>
      <w:numFmt w:val="decimal"/>
      <w:lvlText w:val="%3)"/>
      <w:lvlJc w:val="left"/>
      <w:pPr>
        <w:ind w:hanging="480" w:left="2160"/>
      </w:pPr>
    </w:lvl>
    <w:lvl w:ilvl="3">
      <w:start w:val="1"/>
      <w:numFmt w:val="decimal"/>
      <w:lvlText w:val="%4)"/>
      <w:lvlJc w:val="left"/>
      <w:pPr>
        <w:ind w:hanging="480" w:left="2880"/>
      </w:pPr>
    </w:lvl>
    <w:lvl w:ilvl="4">
      <w:start w:val="1"/>
      <w:numFmt w:val="decimal"/>
      <w:lvlText w:val="%5)"/>
      <w:lvlJc w:val="left"/>
      <w:pPr>
        <w:ind w:hanging="480" w:left="3600"/>
      </w:pPr>
    </w:lvl>
    <w:lvl w:ilvl="5">
      <w:start w:val="1"/>
      <w:numFmt w:val="decimal"/>
      <w:lvlText w:val="%6)"/>
      <w:lvlJc w:val="left"/>
      <w:pPr>
        <w:ind w:hanging="480" w:left="4320"/>
      </w:pPr>
    </w:lvl>
    <w:lvl w:ilvl="6">
      <w:start w:val="1"/>
      <w:numFmt w:val="decimal"/>
      <w:lvlText w:val="%7)"/>
      <w:lvlJc w:val="left"/>
      <w:pPr>
        <w:ind w:hanging="480" w:left="5040"/>
      </w:pPr>
    </w:lvl>
    <w:lvl w:ilvl="7">
      <w:start w:val="1"/>
      <w:numFmt w:val="decimal"/>
      <w:lvlText w:val="%8)"/>
      <w:lvlJc w:val="left"/>
      <w:pPr>
        <w:ind w:hanging="480" w:left="5760"/>
      </w:pPr>
    </w:lvl>
    <w:lvl w:ilvl="8">
      <w:start w:val="1"/>
      <w:numFmt w:val="decimal"/>
      <w:lvlText w:val="%9)"/>
      <w:lvlJc w:val="left"/>
      <w:pPr>
        <w:ind w:hanging="480" w:left="6480"/>
      </w:pPr>
    </w:lvl>
  </w:abstractNum>
  <w:abstractNum w15:restartNumberingAfterBreak="0" w:abstractNumId="13">
    <w:nsid w:val="2AAB1796"/>
    <w:multiLevelType w:val="multilevel"/>
    <w:tmpl w:val="F7E0EDFA"/>
    <w:lvl w:ilvl="0">
      <w:start w:val="1"/>
      <w:numFmt w:val="decimal"/>
      <w:pStyle w:val="Heading1"/>
      <w:lvlText w:val="%1"/>
      <w:lvlJc w:val="left"/>
      <w:pPr>
        <w:ind w:hanging="432" w:left="432"/>
      </w:pPr>
    </w:lvl>
    <w:lvl w:ilvl="1">
      <w:start w:val="1"/>
      <w:numFmt w:val="decimal"/>
      <w:pStyle w:val="Heading2"/>
      <w:lvlText w:val="%1.%2"/>
      <w:lvlJc w:val="left"/>
      <w:pPr>
        <w:ind w:hanging="576" w:left="576"/>
      </w:pPr>
    </w:lvl>
    <w:lvl w:ilvl="2">
      <w:start w:val="1"/>
      <w:numFmt w:val="decimal"/>
      <w:pStyle w:val="Heading3"/>
      <w:lvlText w:val="%1.%2.%3"/>
      <w:lvlJc w:val="left"/>
      <w:pPr>
        <w:ind w:hanging="720" w:left="720"/>
      </w:pPr>
    </w:lvl>
    <w:lvl w:ilvl="3">
      <w:start w:val="1"/>
      <w:numFmt w:val="decimal"/>
      <w:pStyle w:val="Heading4"/>
      <w:lvlText w:val="%1.%2.%3.%4"/>
      <w:lvlJc w:val="left"/>
      <w:pPr>
        <w:ind w:hanging="864" w:left="864"/>
      </w:pPr>
    </w:lvl>
    <w:lvl w:ilvl="4">
      <w:start w:val="1"/>
      <w:numFmt w:val="decimal"/>
      <w:pStyle w:val="Heading5"/>
      <w:lvlText w:val="%1.%2.%3.%4.%5"/>
      <w:lvlJc w:val="left"/>
      <w:pPr>
        <w:ind w:hanging="1008" w:left="1008"/>
      </w:pPr>
    </w:lvl>
    <w:lvl w:ilvl="5">
      <w:start w:val="1"/>
      <w:numFmt w:val="decimal"/>
      <w:pStyle w:val="Heading6"/>
      <w:lvlText w:val="%1.%2.%3.%4.%5.%6"/>
      <w:lvlJc w:val="left"/>
      <w:pPr>
        <w:ind w:hanging="1152" w:left="1152"/>
      </w:pPr>
    </w:lvl>
    <w:lvl w:ilvl="6">
      <w:start w:val="1"/>
      <w:numFmt w:val="decimal"/>
      <w:pStyle w:val="Heading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Heading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Heading9"/>
      <w:lvlText w:val="%1.%2.%3.%4.%5.%6.%7.%8.%9"/>
      <w:lvlJc w:val="left"/>
      <w:pPr>
        <w:ind w:hanging="1584" w:left="1584"/>
      </w:pPr>
    </w:lvl>
  </w:abstractNum>
  <w:abstractNum w15:restartNumberingAfterBreak="0" w:abstractNumId="14">
    <w:nsid w:val="2C1AE401"/>
    <w:multiLevelType w:val="multilevel"/>
    <w:tmpl w:val="EB5024DC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647003809" w:numId="1">
    <w:abstractNumId w:val="14"/>
  </w:num>
  <w:num w16cid:durableId="1050769522" w:numId="2">
    <w:abstractNumId w:val="1"/>
  </w:num>
  <w:num w16cid:durableId="691146791" w:numId="3">
    <w:abstractNumId w:val="2"/>
  </w:num>
  <w:num w16cid:durableId="1840848626" w:numId="4">
    <w:abstractNumId w:val="3"/>
  </w:num>
  <w:num w16cid:durableId="979381040" w:numId="5">
    <w:abstractNumId w:val="4"/>
  </w:num>
  <w:num w16cid:durableId="1339770353" w:numId="6">
    <w:abstractNumId w:val="9"/>
  </w:num>
  <w:num w16cid:durableId="1869879009" w:numId="7">
    <w:abstractNumId w:val="5"/>
  </w:num>
  <w:num w16cid:durableId="958805246" w:numId="8">
    <w:abstractNumId w:val="6"/>
  </w:num>
  <w:num w16cid:durableId="1871726544" w:numId="9">
    <w:abstractNumId w:val="7"/>
  </w:num>
  <w:num w16cid:durableId="1443769426" w:numId="10">
    <w:abstractNumId w:val="8"/>
  </w:num>
  <w:num w16cid:durableId="2133476877" w:numId="11">
    <w:abstractNumId w:val="10"/>
  </w:num>
  <w:num w16cid:durableId="1658653764" w:numId="12">
    <w:abstractNumId w:val="13"/>
  </w:num>
  <w:num w16cid:durableId="1291326281" w:numId="13">
    <w:abstractNumId w:val="14"/>
  </w:num>
  <w:num w16cid:durableId="455566639" w:numId="14">
    <w:abstractNumId w:val="0"/>
  </w:num>
  <w:num w16cid:durableId="1123501441" w:numId="15">
    <w:abstractNumId w:val="0"/>
  </w:num>
  <w:num w16cid:durableId="1713111372" w:numId="16">
    <w:abstractNumId w:val="14"/>
  </w:num>
  <w:num w16cid:durableId="633413296" w:numId="17">
    <w:abstractNumId w:val="14"/>
  </w:num>
  <w:num w16cid:durableId="727605067" w:numId="18">
    <w:abstractNumId w:val="0"/>
  </w:num>
  <w:num w16cid:durableId="790052878" w:numId="19">
    <w:abstractNumId w:val="0"/>
  </w:num>
  <w:num w16cid:durableId="1687557063" w:numId="20">
    <w:abstractNumId w:val="0"/>
  </w:num>
  <w:num w16cid:durableId="1615483120" w:numId="21">
    <w:abstractNumId w:val="14"/>
  </w:num>
  <w:num w16cid:durableId="1942569766" w:numId="22">
    <w:abstractNumId w:val="14"/>
  </w:num>
  <w:num w16cid:durableId="1205798551" w:numId="23">
    <w:abstractNumId w:val="11"/>
  </w:num>
  <w:num w16cid:durableId="647243311"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16cid:durableId="1364794324" w:numId="25">
    <w:abstractNumId w:val="11"/>
  </w:num>
  <w:num w16cid:durableId="1211453382" w:numId="26">
    <w:abstractNumId w:val="1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15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DEB"/>
    <w:rsid w:val="009A350C"/>
    <w:rsid w:val="00BF0311"/>
    <w:rsid w:val="00C83DEB"/>
  </w:rsids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475C52"/>
    <w:pPr>
      <w:spacing w:after="240" w:before="120" w:line="480" w:lineRule="auto"/>
      <w:ind w:firstLine="397"/>
      <w:jc w:val="both"/>
    </w:pPr>
    <w:rPr>
      <w:rFonts w:ascii="Calibri" w:eastAsiaTheme="minorEastAsia" w:hAnsi="Calibri"/>
    </w:rPr>
  </w:style>
  <w:style w:styleId="Heading1" w:type="paragraph">
    <w:name w:val="heading 1"/>
    <w:basedOn w:val="Normal"/>
    <w:next w:val="BodyText"/>
    <w:uiPriority w:val="9"/>
    <w:qFormat/>
    <w:rsid w:val="009F1910"/>
    <w:pPr>
      <w:keepNext/>
      <w:keepLines/>
      <w:numPr>
        <w:numId w:val="12"/>
      </w:numPr>
      <w:spacing w:after="0" w:line="240" w:lineRule="auto"/>
      <w:ind w:firstLine="0" w:left="0"/>
      <w:outlineLvl w:val="0"/>
    </w:pPr>
    <w:rPr>
      <w:rFonts w:asciiTheme="majorHAnsi" w:cstheme="majorBidi" w:eastAsiaTheme="majorEastAsia" w:hAnsiTheme="majorHAnsi"/>
      <w:b/>
      <w:bCs/>
      <w:sz w:val="32"/>
      <w:szCs w:val="32"/>
    </w:rPr>
  </w:style>
  <w:style w:styleId="Heading2" w:type="paragraph">
    <w:name w:val="heading 2"/>
    <w:basedOn w:val="Normal"/>
    <w:next w:val="BodyText"/>
    <w:autoRedefine/>
    <w:uiPriority w:val="9"/>
    <w:unhideWhenUsed/>
    <w:qFormat/>
    <w:rsid w:val="009F1910"/>
    <w:pPr>
      <w:keepNext/>
      <w:keepLines/>
      <w:numPr>
        <w:ilvl w:val="1"/>
        <w:numId w:val="12"/>
      </w:numPr>
      <w:spacing w:after="120" w:line="240" w:lineRule="auto"/>
      <w:ind w:firstLine="0" w:left="0"/>
      <w:outlineLvl w:val="1"/>
    </w:pPr>
    <w:rPr>
      <w:rFonts w:asciiTheme="majorHAnsi" w:cstheme="majorBidi" w:eastAsiaTheme="majorEastAsia" w:hAnsiTheme="majorHAnsi"/>
      <w:b/>
      <w:bCs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357B8B"/>
    <w:pPr>
      <w:keepNext/>
      <w:keepLines/>
      <w:numPr>
        <w:ilvl w:val="2"/>
        <w:numId w:val="12"/>
      </w:numPr>
      <w:spacing w:after="0" w:before="200"/>
      <w:outlineLvl w:val="2"/>
    </w:pPr>
    <w:rPr>
      <w:rFonts w:asciiTheme="majorHAnsi" w:cstheme="majorBidi" w:eastAsiaTheme="majorEastAsia" w:hAnsiTheme="majorHAnsi"/>
      <w:b/>
      <w:bCs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numPr>
        <w:ilvl w:val="3"/>
        <w:numId w:val="12"/>
      </w:numPr>
      <w:spacing w:after="0" w:before="200"/>
      <w:outlineLvl w:val="3"/>
    </w:pPr>
    <w:rPr>
      <w:rFonts w:asciiTheme="majorHAnsi" w:cstheme="majorBidi" w:eastAsiaTheme="majorEastAsia" w:hAnsiTheme="majorHAnsi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numPr>
        <w:ilvl w:val="4"/>
        <w:numId w:val="12"/>
      </w:numPr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numPr>
        <w:ilvl w:val="5"/>
        <w:numId w:val="12"/>
      </w:numPr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numPr>
        <w:ilvl w:val="6"/>
        <w:numId w:val="12"/>
      </w:numPr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numPr>
        <w:ilvl w:val="7"/>
        <w:numId w:val="12"/>
      </w:numPr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numPr>
        <w:ilvl w:val="8"/>
        <w:numId w:val="12"/>
      </w:numPr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autoRedefine/>
    <w:qFormat/>
    <w:rsid w:val="00475C52"/>
    <w:pPr>
      <w:spacing w:after="180" w:before="180"/>
    </w:pPr>
  </w:style>
  <w:style w:customStyle="1" w:styleId="FirstParagraph" w:type="paragraph">
    <w:name w:val="First Paragraph"/>
    <w:basedOn w:val="BodyText"/>
    <w:next w:val="BodyText"/>
    <w:autoRedefine/>
    <w:qFormat/>
    <w:rsid w:val="001D0787"/>
    <w:pPr>
      <w:spacing w:after="120" w:before="240"/>
    </w:pPr>
  </w:style>
  <w:style w:customStyle="1" w:styleId="Compact" w:type="paragraph">
    <w:name w:val="Compact"/>
    <w:basedOn w:val="BodyText"/>
    <w:autoRedefine/>
    <w:qFormat/>
    <w:rsid w:val="00684FFA"/>
    <w:pPr>
      <w:spacing w:after="0" w:before="0"/>
      <w:ind w:firstLine="0"/>
      <w:jc w:val="left"/>
    </w:pPr>
  </w:style>
  <w:style w:styleId="Title" w:type="paragraph">
    <w:name w:val="Title"/>
    <w:basedOn w:val="Normal"/>
    <w:next w:val="BodyText"/>
    <w:qFormat/>
    <w:rsid w:val="009F1910"/>
    <w:pPr>
      <w:keepNext/>
      <w:keepLines/>
      <w:spacing w:after="120" w:before="240" w:line="240" w:lineRule="auto"/>
      <w:ind w:firstLine="0"/>
      <w:jc w:val="center"/>
    </w:pPr>
    <w:rPr>
      <w:rFonts w:asciiTheme="majorHAnsi" w:cstheme="majorBidi" w:eastAsiaTheme="majorEastAsia" w:hAnsiTheme="majorHAnsi"/>
      <w:b/>
      <w:bCs/>
      <w:sz w:val="32"/>
      <w:szCs w:val="36"/>
    </w:rPr>
  </w:style>
  <w:style w:styleId="Subtitle" w:type="paragraph">
    <w:name w:val="Subtitle"/>
    <w:basedOn w:val="Title"/>
    <w:next w:val="BodyText"/>
    <w:qFormat/>
    <w:rsid w:val="004659FD"/>
    <w:pPr>
      <w:spacing w:after="240"/>
    </w:pPr>
    <w:rPr>
      <w:sz w:val="28"/>
      <w:szCs w:val="30"/>
    </w:rPr>
  </w:style>
  <w:style w:customStyle="1" w:styleId="Author" w:type="paragraph">
    <w:name w:val="Author"/>
    <w:next w:val="BodyText"/>
    <w:qFormat/>
    <w:rsid w:val="009F1910"/>
    <w:pPr>
      <w:keepNext/>
      <w:keepLines/>
      <w:jc w:val="center"/>
    </w:pPr>
    <w:rPr>
      <w:sz w:val="21"/>
    </w:r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autoRedefine/>
    <w:qFormat/>
    <w:rsid w:val="00475C52"/>
    <w:rPr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basedOn w:val="TableNormal"/>
    <w:semiHidden/>
    <w:unhideWhenUsed/>
    <w:qFormat/>
    <w:rsid w:val="00556B80"/>
    <w:tblPr>
      <w:jc w:val="center"/>
      <w:tblBorders>
        <w:bottom w:color="auto" w:space="0" w:sz="4" w:val="single"/>
      </w:tblBorders>
    </w:tblPr>
    <w:trPr>
      <w:jc w:val="center"/>
    </w:trPr>
    <w:tblStylePr w:type="firstRow">
      <w:pPr>
        <w:jc w:val="center"/>
      </w:pPr>
      <w:rPr>
        <w:rFonts w:asciiTheme="minorHAnsi" w:hAnsiTheme="minorHAnsi"/>
        <w:b/>
        <w:color w:val="auto"/>
        <w:sz w:val="24"/>
        <w:u w:val="none"/>
      </w:rPr>
      <w:tblPr/>
      <w:tcPr>
        <w:tcBorders>
          <w:top w:color="auto" w:space="0" w:sz="4" w:val="single"/>
          <w:bottom w:color="auto" w:space="0" w:sz="4" w:val="single"/>
        </w:tcBorders>
        <w:shd w:color="auto" w:fill="BFBFBF" w:themeFill="background1" w:themeFillShade="BF" w:val="clear"/>
      </w:tcPr>
    </w:tblStylePr>
    <w:tblStylePr w:type="firstCol">
      <w:rPr>
        <w:b/>
      </w:r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autoRedefine/>
    <w:rsid w:val="00556B80"/>
    <w:pPr>
      <w:spacing w:after="120" w:before="0"/>
      <w:jc w:val="center"/>
    </w:pPr>
    <w:rPr>
      <w:i/>
    </w:rPr>
  </w:style>
  <w:style w:customStyle="1" w:styleId="TableCaption" w:type="paragraph">
    <w:name w:val="Table Caption"/>
    <w:basedOn w:val="Caption"/>
    <w:autoRedefine/>
    <w:rsid w:val="009F1910"/>
    <w:pPr>
      <w:keepNext/>
      <w:spacing w:before="240"/>
      <w:ind w:firstLine="0"/>
    </w:pPr>
  </w:style>
  <w:style w:customStyle="1" w:styleId="ImageCaption" w:type="paragraph">
    <w:name w:val="Image Caption"/>
    <w:basedOn w:val="Caption"/>
    <w:autoRedefine/>
    <w:qFormat/>
    <w:rsid w:val="009A350C"/>
    <w:pPr>
      <w:keepLines/>
      <w:spacing w:before="200"/>
      <w:ind w:firstLine="0"/>
      <w:jc w:val="both"/>
    </w:pPr>
  </w:style>
  <w:style w:customStyle="1" w:styleId="Figure" w:type="paragraph">
    <w:name w:val="Figure"/>
    <w:basedOn w:val="Normal"/>
    <w:autoRedefine/>
    <w:rsid w:val="001D0787"/>
    <w:pPr>
      <w:keepNext/>
      <w:spacing w:after="120" w:before="240" w:line="360" w:lineRule="auto"/>
      <w:ind w:firstLine="0"/>
      <w:jc w:val="center"/>
    </w:pPr>
    <w:rPr>
      <w:noProof/>
    </w:rPr>
  </w:style>
  <w:style w:customStyle="1" w:styleId="CaptionedFigure" w:type="paragraph">
    <w:name w:val="Captioned Figure"/>
    <w:basedOn w:val="Figure"/>
    <w:rsid w:val="00357B8B"/>
  </w:style>
  <w:style w:customStyle="1" w:styleId="CaptionChar" w:type="character">
    <w:name w:val="Caption Char"/>
    <w:basedOn w:val="DefaultParagraphFont"/>
    <w:link w:val="Caption"/>
    <w:rsid w:val="00556B80"/>
    <w:rPr>
      <w:i/>
    </w:rPr>
  </w:style>
  <w:style w:customStyle="1" w:styleId="VerbatimChar" w:type="character">
    <w:name w:val="Verbatim Char"/>
    <w:basedOn w:val="CaptionChar"/>
    <w:link w:val="SourceCode"/>
    <w:rsid w:val="00357B8B"/>
    <w:rPr>
      <w:i/>
      <w:shd w:color="auto" w:fill="F8F8F8" w:val="clear"/>
    </w:rPr>
  </w:style>
  <w:style w:styleId="FootnoteReference" w:type="character">
    <w:name w:val="footnote reference"/>
    <w:basedOn w:val="CaptionChar"/>
    <w:rPr>
      <w:i/>
      <w:vertAlign w:val="superscript"/>
    </w:rPr>
  </w:style>
  <w:style w:styleId="Hyperlink" w:type="character">
    <w:name w:val="Hyperlink"/>
    <w:basedOn w:val="CaptionChar"/>
    <w:rPr>
      <w:i/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rsid w:val="00357B8B"/>
    <w:pPr>
      <w:framePr w:hAnchor="text" w:vAnchor="text" w:wrap="around" w:y="1"/>
      <w:shd w:color="auto" w:fill="F8F8F8" w:val="clear"/>
      <w:wordWrap w:val="0"/>
      <w:spacing w:after="0" w:before="0" w:line="240" w:lineRule="auto"/>
      <w:ind w:firstLine="0"/>
    </w:pPr>
  </w:style>
  <w:style w:customStyle="1" w:styleId="KeywordTok" w:type="character">
    <w:name w:val="KeywordTok"/>
    <w:basedOn w:val="VerbatimChar"/>
    <w:rPr>
      <w:b/>
      <w:i/>
      <w:color w:val="204A87"/>
      <w:shd w:color="auto" w:fill="F8F8F8" w:val="clear"/>
    </w:rPr>
  </w:style>
  <w:style w:customStyle="1" w:styleId="DataTypeTok" w:type="character">
    <w:name w:val="DataTypeTok"/>
    <w:basedOn w:val="VerbatimChar"/>
    <w:rPr>
      <w:i/>
      <w:color w:val="204A87"/>
      <w:shd w:color="auto" w:fill="F8F8F8" w:val="clear"/>
    </w:rPr>
  </w:style>
  <w:style w:customStyle="1" w:styleId="DecValTok" w:type="character">
    <w:name w:val="DecValTok"/>
    <w:basedOn w:val="VerbatimChar"/>
    <w:rPr>
      <w:i/>
      <w:color w:val="0000CF"/>
      <w:shd w:color="auto" w:fill="F8F8F8" w:val="clear"/>
    </w:rPr>
  </w:style>
  <w:style w:customStyle="1" w:styleId="BaseNTok" w:type="character">
    <w:name w:val="BaseNTok"/>
    <w:basedOn w:val="VerbatimChar"/>
    <w:rPr>
      <w:i/>
      <w:color w:val="0000CF"/>
      <w:shd w:color="auto" w:fill="F8F8F8" w:val="clear"/>
    </w:rPr>
  </w:style>
  <w:style w:customStyle="1" w:styleId="FloatTok" w:type="character">
    <w:name w:val="FloatTok"/>
    <w:basedOn w:val="VerbatimChar"/>
    <w:rPr>
      <w:i/>
      <w:color w:val="0000CF"/>
      <w:shd w:color="auto" w:fill="F8F8F8" w:val="clear"/>
    </w:rPr>
  </w:style>
  <w:style w:customStyle="1" w:styleId="ConstantTok" w:type="character">
    <w:name w:val="ConstantTok"/>
    <w:basedOn w:val="VerbatimChar"/>
    <w:rPr>
      <w:i/>
      <w:color w:val="000000"/>
      <w:shd w:color="auto" w:fill="F8F8F8" w:val="clear"/>
    </w:rPr>
  </w:style>
  <w:style w:customStyle="1" w:styleId="CharTok" w:type="character">
    <w:name w:val="CharTok"/>
    <w:basedOn w:val="VerbatimChar"/>
    <w:rPr>
      <w:i/>
      <w:color w:val="4E9A06"/>
      <w:shd w:color="auto" w:fill="F8F8F8" w:val="clear"/>
    </w:rPr>
  </w:style>
  <w:style w:customStyle="1" w:styleId="SpecialCharTok" w:type="character">
    <w:name w:val="SpecialCharTok"/>
    <w:basedOn w:val="VerbatimChar"/>
    <w:rPr>
      <w:i/>
      <w:color w:val="000000"/>
      <w:shd w:color="auto" w:fill="F8F8F8" w:val="clear"/>
    </w:rPr>
  </w:style>
  <w:style w:customStyle="1" w:styleId="StringTok" w:type="character">
    <w:name w:val="StringTok"/>
    <w:basedOn w:val="VerbatimChar"/>
    <w:rPr>
      <w:i/>
      <w:color w:val="4E9A06"/>
      <w:shd w:color="auto" w:fill="F8F8F8" w:val="clear"/>
    </w:rPr>
  </w:style>
  <w:style w:customStyle="1" w:styleId="VerbatimStringTok" w:type="character">
    <w:name w:val="VerbatimStringTok"/>
    <w:basedOn w:val="VerbatimChar"/>
    <w:rPr>
      <w:i/>
      <w:color w:val="4E9A06"/>
      <w:shd w:color="auto" w:fill="F8F8F8" w:val="clear"/>
    </w:rPr>
  </w:style>
  <w:style w:customStyle="1" w:styleId="SpecialStringTok" w:type="character">
    <w:name w:val="SpecialStringTok"/>
    <w:basedOn w:val="VerbatimChar"/>
    <w:rPr>
      <w:i/>
      <w:color w:val="4E9A06"/>
      <w:shd w:color="auto" w:fill="F8F8F8" w:val="clear"/>
    </w:rPr>
  </w:style>
  <w:style w:customStyle="1" w:styleId="ImportTok" w:type="character">
    <w:name w:val="ImportTok"/>
    <w:basedOn w:val="VerbatimChar"/>
    <w:rPr>
      <w:i/>
      <w:shd w:color="auto" w:fill="F8F8F8" w:val="clear"/>
    </w:rPr>
  </w:style>
  <w:style w:customStyle="1" w:styleId="CommentTok" w:type="character">
    <w:name w:val="CommentTok"/>
    <w:basedOn w:val="VerbatimChar"/>
    <w:rPr>
      <w:i w:val="0"/>
      <w:color w:val="8F5902"/>
      <w:shd w:color="auto" w:fill="F8F8F8" w:val="clear"/>
    </w:rPr>
  </w:style>
  <w:style w:customStyle="1" w:styleId="DocumentationTok" w:type="character">
    <w:name w:val="DocumentationTok"/>
    <w:basedOn w:val="VerbatimChar"/>
    <w:rPr>
      <w:b/>
      <w:i w:val="0"/>
      <w:color w:val="8F5902"/>
      <w:shd w:color="auto" w:fill="F8F8F8" w:val="clear"/>
    </w:rPr>
  </w:style>
  <w:style w:customStyle="1" w:styleId="AnnotationTok" w:type="character">
    <w:name w:val="AnnotationTok"/>
    <w:basedOn w:val="VerbatimChar"/>
    <w:rPr>
      <w:b/>
      <w:i w:val="0"/>
      <w:color w:val="8F5902"/>
      <w:shd w:color="auto" w:fill="F8F8F8" w:val="clear"/>
    </w:rPr>
  </w:style>
  <w:style w:customStyle="1" w:styleId="CommentVarTok" w:type="character">
    <w:name w:val="CommentVarTok"/>
    <w:basedOn w:val="VerbatimChar"/>
    <w:rPr>
      <w:b/>
      <w:i w:val="0"/>
      <w:color w:val="8F5902"/>
      <w:shd w:color="auto" w:fill="F8F8F8" w:val="clear"/>
    </w:rPr>
  </w:style>
  <w:style w:customStyle="1" w:styleId="OtherTok" w:type="character">
    <w:name w:val="OtherTok"/>
    <w:basedOn w:val="VerbatimChar"/>
    <w:rPr>
      <w:i/>
      <w:color w:val="8F5902"/>
      <w:shd w:color="auto" w:fill="F8F8F8" w:val="clear"/>
    </w:rPr>
  </w:style>
  <w:style w:customStyle="1" w:styleId="FunctionTok" w:type="character">
    <w:name w:val="FunctionTok"/>
    <w:basedOn w:val="VerbatimChar"/>
    <w:rPr>
      <w:i/>
      <w:color w:val="000000"/>
      <w:shd w:color="auto" w:fill="F8F8F8" w:val="clear"/>
    </w:rPr>
  </w:style>
  <w:style w:customStyle="1" w:styleId="VariableTok" w:type="character">
    <w:name w:val="VariableTok"/>
    <w:basedOn w:val="VerbatimChar"/>
    <w:rPr>
      <w:i/>
      <w:color w:val="000000"/>
      <w:shd w:color="auto" w:fill="F8F8F8" w:val="clear"/>
    </w:rPr>
  </w:style>
  <w:style w:customStyle="1" w:styleId="ControlFlowTok" w:type="character">
    <w:name w:val="ControlFlowTok"/>
    <w:basedOn w:val="VerbatimChar"/>
    <w:rPr>
      <w:b/>
      <w:i/>
      <w:color w:val="204A87"/>
      <w:shd w:color="auto" w:fill="F8F8F8" w:val="clear"/>
    </w:rPr>
  </w:style>
  <w:style w:customStyle="1" w:styleId="OperatorTok" w:type="character">
    <w:name w:val="OperatorTok"/>
    <w:basedOn w:val="VerbatimChar"/>
    <w:rPr>
      <w:b/>
      <w:i/>
      <w:color w:val="CE5C00"/>
      <w:shd w:color="auto" w:fill="F8F8F8" w:val="clear"/>
    </w:rPr>
  </w:style>
  <w:style w:customStyle="1" w:styleId="BuiltInTok" w:type="character">
    <w:name w:val="BuiltInTok"/>
    <w:basedOn w:val="VerbatimChar"/>
    <w:rPr>
      <w:i/>
      <w:shd w:color="auto" w:fill="F8F8F8" w:val="clear"/>
    </w:rPr>
  </w:style>
  <w:style w:customStyle="1" w:styleId="ExtensionTok" w:type="character">
    <w:name w:val="ExtensionTok"/>
    <w:basedOn w:val="VerbatimChar"/>
    <w:rPr>
      <w:i/>
      <w:shd w:color="auto" w:fill="F8F8F8" w:val="clear"/>
    </w:rPr>
  </w:style>
  <w:style w:customStyle="1" w:styleId="PreprocessorTok" w:type="character">
    <w:name w:val="PreprocessorTok"/>
    <w:basedOn w:val="VerbatimChar"/>
    <w:rPr>
      <w:i w:val="0"/>
      <w:color w:val="8F5902"/>
      <w:shd w:color="auto" w:fill="F8F8F8" w:val="clear"/>
    </w:rPr>
  </w:style>
  <w:style w:customStyle="1" w:styleId="AttributeTok" w:type="character">
    <w:name w:val="AttributeTok"/>
    <w:basedOn w:val="VerbatimChar"/>
    <w:rPr>
      <w:i/>
      <w:color w:val="C4A000"/>
      <w:shd w:color="auto" w:fill="F8F8F8" w:val="clear"/>
    </w:rPr>
  </w:style>
  <w:style w:customStyle="1" w:styleId="RegionMarkerTok" w:type="character">
    <w:name w:val="RegionMarkerTok"/>
    <w:basedOn w:val="VerbatimChar"/>
    <w:rPr>
      <w:i/>
      <w:shd w:color="auto" w:fill="F8F8F8" w:val="clear"/>
    </w:rPr>
  </w:style>
  <w:style w:customStyle="1" w:styleId="InformationTok" w:type="character">
    <w:name w:val="InformationTok"/>
    <w:basedOn w:val="VerbatimChar"/>
    <w:rPr>
      <w:b/>
      <w:i w:val="0"/>
      <w:color w:val="8F5902"/>
      <w:shd w:color="auto" w:fill="F8F8F8" w:val="clear"/>
    </w:rPr>
  </w:style>
  <w:style w:customStyle="1" w:styleId="WarningTok" w:type="character">
    <w:name w:val="WarningTok"/>
    <w:basedOn w:val="VerbatimChar"/>
    <w:rPr>
      <w:b/>
      <w:i w:val="0"/>
      <w:color w:val="8F5902"/>
      <w:shd w:color="auto" w:fill="F8F8F8" w:val="clear"/>
    </w:rPr>
  </w:style>
  <w:style w:customStyle="1" w:styleId="AlertTok" w:type="character">
    <w:name w:val="AlertTok"/>
    <w:basedOn w:val="VerbatimChar"/>
    <w:rPr>
      <w:i/>
      <w:color w:val="EF2929"/>
      <w:shd w:color="auto" w:fill="F8F8F8" w:val="clear"/>
    </w:rPr>
  </w:style>
  <w:style w:customStyle="1" w:styleId="ErrorTok" w:type="character">
    <w:name w:val="ErrorTok"/>
    <w:basedOn w:val="VerbatimChar"/>
    <w:rPr>
      <w:b/>
      <w:i/>
      <w:color w:val="A40000"/>
      <w:shd w:color="auto" w:fill="F8F8F8" w:val="clear"/>
    </w:rPr>
  </w:style>
  <w:style w:customStyle="1" w:styleId="NormalTok" w:type="character">
    <w:name w:val="NormalTok"/>
    <w:basedOn w:val="VerbatimChar"/>
    <w:rPr>
      <w:i/>
      <w:shd w:color="auto" w:fill="F8F8F8" w:val="clear"/>
    </w:rPr>
  </w:style>
  <w:style w:customStyle="1" w:styleId="BodyTextChar" w:type="character">
    <w:name w:val="Body Text Char"/>
    <w:basedOn w:val="DefaultParagraphFont"/>
    <w:link w:val="BodyText"/>
    <w:rsid w:val="00475C52"/>
    <w:rPr>
      <w:rFonts w:ascii="Calibri" w:eastAsiaTheme="minorEastAsia" w:hAnsi="Calibri"/>
    </w:rPr>
  </w:style>
  <w:style w:customStyle="1" w:styleId="Image" w:type="paragraph">
    <w:name w:val="Image"/>
    <w:qFormat/>
    <w:rsid w:val="009F1910"/>
    <w:pPr>
      <w:keepNext/>
      <w:spacing w:after="120" w:before="240"/>
      <w:jc w:val="center"/>
    </w:pPr>
    <w:rPr>
      <w:rFonts w:ascii="Calibri" w:hAnsi="Calibri"/>
      <w:noProof/>
    </w:rPr>
  </w:style>
  <w:style w:customStyle="1" w:styleId="TableScientific" w:type="table">
    <w:name w:val="Table Scientific"/>
    <w:basedOn w:val="TableNormal"/>
    <w:uiPriority w:val="99"/>
    <w:rsid w:val="0043749A"/>
    <w:pPr>
      <w:spacing w:after="100" w:afterAutospacing="1" w:before="100" w:beforeAutospacing="1" w:line="360" w:lineRule="auto"/>
    </w:pPr>
    <w:rPr>
      <w:rFonts w:ascii="Calibri" w:cs="Times New Roman (Body CS)" w:eastAsiaTheme="minorEastAsia" w:hAnsi="Calibri"/>
      <w:sz w:val="22"/>
    </w:rPr>
    <w:tblPr>
      <w:jc w:val="center"/>
      <w:tblBorders>
        <w:bottom w:color="auto" w:space="0" w:sz="4" w:val="single"/>
      </w:tblBorders>
    </w:tblPr>
    <w:trPr>
      <w:jc w:val="center"/>
    </w:trPr>
    <w:tcPr>
      <w:vAlign w:val="center"/>
    </w:tcPr>
    <w:tblStylePr w:type="firstRow">
      <w:pPr>
        <w:jc w:val="left"/>
      </w:pPr>
      <w:rPr>
        <w:b/>
      </w:rPr>
      <w:tblPr/>
      <w:tcPr>
        <w:tcBorders>
          <w:top w:color="auto" w:space="0" w:sz="4" w:val="single"/>
          <w:bottom w:color="auto" w:space="0" w:sz="4" w:val="single"/>
        </w:tcBorders>
        <w:shd w:color="auto" w:fill="F2F2F2" w:themeFill="background1" w:themeFillShade="F2" w:val="clear"/>
        <w:vAlign w:val="center"/>
      </w:tcPr>
    </w:tblStylePr>
    <w:tblStylePr w:type="lastRow">
      <w:rPr>
        <w:rFonts w:ascii="Calibri" w:hAnsi="Calibri"/>
      </w:rPr>
      <w:tblPr/>
      <w:tcPr>
        <w:tcBorders>
          <w:bottom w:color="auto" w:space="0" w:sz="4" w:val="single"/>
        </w:tcBorders>
      </w:tcPr>
    </w:tblStylePr>
    <w:tblStylePr w:type="lastCol">
      <w:pPr>
        <w:keepNext/>
        <w:wordWrap/>
        <w:spacing w:after="0" w:afterAutospacing="0" w:afterLines="0" w:before="0" w:beforeAutospacing="0" w:beforeLines="0" w:line="240" w:lineRule="auto"/>
        <w:ind w:firstLine="0" w:firstLineChars="0" w:left="0" w:leftChars="0" w:right="0" w:rightChars="0"/>
      </w:pPr>
      <w:rPr>
        <w:rFonts w:ascii="Calibri" w:eastAsia="SimSun" w:hAnsi="Calibri"/>
      </w:rPr>
      <w:tblPr/>
      <w:tcPr>
        <w:tcBorders>
          <w:bottom w:val="nil"/>
        </w:tcBorders>
      </w:tcPr>
    </w:tblStylePr>
  </w:style>
  <w:style w:styleId="PlainTable1" w:type="table">
    <w:name w:val="Plain Table 1"/>
    <w:basedOn w:val="TableNormal"/>
    <w:rsid w:val="00300D72"/>
    <w:pPr>
      <w:spacing w:after="0"/>
    </w:pPr>
    <w:tblPr>
      <w:tblStyleRowBandSize w:val="1"/>
      <w:tblStyleColBandSize w:val="1"/>
      <w:tblBorders>
        <w:top w:color="BFBFBF" w:space="0" w:sz="4" w:themeColor="background1" w:themeShade="BF" w:val="single"/>
        <w:left w:color="BFBFBF" w:space="0" w:sz="4" w:themeColor="background1" w:themeShade="BF" w:val="single"/>
        <w:bottom w:color="BFBFBF" w:space="0" w:sz="4" w:themeColor="background1" w:themeShade="BF" w:val="single"/>
        <w:right w:color="BFBFBF" w:space="0" w:sz="4" w:themeColor="background1" w:themeShade="BF" w:val="single"/>
        <w:insideH w:color="BFBFBF" w:space="0" w:sz="4" w:themeColor="background1" w:themeShade="BF" w:val="single"/>
        <w:insideV w:color="BFBFBF" w:space="0" w:sz="4" w:themeColor="background1" w:themeShade="BF" w:val="singl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BFBFBF" w:space="0" w:sz="4" w:themeColor="background1" w:themeShade="BF" w:val="doub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2F2F2" w:themeFill="background1" w:themeFillShade="F2" w:val="clear"/>
      </w:tcPr>
    </w:tblStylePr>
    <w:tblStylePr w:type="band1Horz">
      <w:tblPr/>
      <w:tcPr>
        <w:shd w:color="auto" w:fill="F2F2F2" w:themeFill="background1" w:themeFillShade="F2" w:val="clear"/>
      </w:tcPr>
    </w:tblStylePr>
  </w:style>
  <w:style w:styleId="PlainTable3" w:type="table">
    <w:name w:val="Plain Table 3"/>
    <w:basedOn w:val="TableNormal"/>
    <w:rsid w:val="00300D7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color="7F7F7F" w:space="0" w:sz="4" w:themeColor="text1" w:themeTint="80" w:val="single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color="7F7F7F" w:space="0" w:sz="4" w:themeColor="text1" w:themeTint="80" w:val="single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color="auto" w:fill="F2F2F2" w:themeFill="background1" w:themeFillShade="F2" w:val="clear"/>
      </w:tcPr>
    </w:tblStylePr>
    <w:tblStylePr w:type="band1Horz">
      <w:tblPr/>
      <w:tcPr>
        <w:shd w:color="auto" w:fill="F2F2F2" w:themeFill="background1" w:themeFillShade="F2" w:val="clear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customStyle="1" w:styleId="Table1" w:type="table">
    <w:name w:val="Table1"/>
    <w:basedOn w:val="TableNormal"/>
    <w:uiPriority w:val="99"/>
    <w:rsid w:val="0043749A"/>
    <w:pPr>
      <w:spacing w:after="0"/>
      <w:jc w:val="center"/>
    </w:pPr>
    <w:tblPr>
      <w:tblBorders>
        <w:top w:color="auto" w:space="0" w:sz="4" w:val="single"/>
        <w:bottom w:color="auto" w:space="0" w:sz="4" w:val="single"/>
      </w:tblBorders>
    </w:tblPr>
    <w:tcPr>
      <w:noWrap/>
      <w:vAlign w:val="center"/>
    </w:tcPr>
    <w:tblStylePr w:type="firstRow">
      <w:rPr>
        <w:b/>
      </w:rPr>
      <w:tblPr/>
      <w:tcPr>
        <w:tcBorders>
          <w:bottom w:color="auto" w:space="0" w:sz="4" w:val="single"/>
        </w:tcBorders>
      </w:tcPr>
    </w:tblStylePr>
    <w:tblStylePr w:type="firstCol">
      <w:pPr>
        <w:wordWrap/>
        <w:spacing w:after="0" w:afterAutospacing="0" w:afterLines="0" w:before="0" w:beforeAutospacing="0" w:beforeLines="0" w:line="240" w:lineRule="auto"/>
        <w:ind w:firstLine="0" w:firstLineChars="0" w:left="0" w:leftChars="0" w:right="0" w:rightChars="0"/>
        <w:jc w:val="left"/>
        <w:textboxTightWrap w:val="allLines"/>
        <w:outlineLvl w:val="9"/>
      </w:pPr>
      <w:rPr>
        <w:b/>
      </w:rPr>
    </w:tblStylePr>
  </w:style>
  <w:style w:styleId="LineNumber" w:type="character">
    <w:name w:val="line number"/>
    <w:basedOn w:val="DefaultParagraphFont"/>
    <w:semiHidden/>
    <w:unhideWhenUsed/>
    <w:rsid w:val="00D34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tiff" /><Relationship Type="http://schemas.openxmlformats.org/officeDocument/2006/relationships/image" Id="rId65" Target="media/rId65.tiff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57" Target="media/rId57.png" /><Relationship Type="http://schemas.openxmlformats.org/officeDocument/2006/relationships/image" Id="rId21" Target="media/rId21.tiff" /><Relationship Type="http://schemas.openxmlformats.org/officeDocument/2006/relationships/image" Id="rId33" Target="media/rId33.png" /><Relationship Type="http://schemas.openxmlformats.org/officeDocument/2006/relationships/image" Id="rId29" Target="media/rId29.png" /><Relationship Type="http://schemas.openxmlformats.org/officeDocument/2006/relationships/image" Id="rId61" Target="media/rId61.tiff" /><Relationship Type="http://schemas.openxmlformats.org/officeDocument/2006/relationships/image" Id="rId37" Target="media/rId37.png" /><Relationship Type="http://schemas.openxmlformats.org/officeDocument/2006/relationships/hyperlink" Id="rId20" Target="mailto:yangmin@rcees.ac.c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mailto:yangmin@rcees.ac.c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for identification of MIB producers using routine data: a case study of an estuary drinking water reservoir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warning of MIB episode based on gene abundance and expression in drinking water reservoirs</dc:title>
  <dc:creator/>
  <cp:keywords/>
  <dcterms:created xsi:type="dcterms:W3CDTF">2024-04-30T07:59:56Z</dcterms:created>
  <dcterms:modified xsi:type="dcterms:W3CDTF">2024-04-30T07:59:56Z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commands">
    <vt:lpwstr/>
  </property>
  <property fmtid="{D5CDD505-2E9C-101B-9397-08002B2CF9AE}" pid="6" name="comments">
    <vt:lpwstr/>
  </property>
  <property fmtid="{D5CDD505-2E9C-101B-9397-08002B2CF9AE}" pid="7" name="crossref">
    <vt:lpwstr/>
  </property>
  <property fmtid="{D5CDD505-2E9C-101B-9397-08002B2CF9AE}" pid="8" name="csl">
    <vt:lpwstr>_extensions/inst/tex/elsevier-harvard.csl</vt:lpwstr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msname">
    <vt:lpwstr>MS</vt:lpwstr>
  </property>
  <property fmtid="{D5CDD505-2E9C-101B-9397-08002B2CF9AE}" pid="14" name="smname">
    <vt:lpwstr>SM</vt:lpwstr>
  </property>
  <property fmtid="{D5CDD505-2E9C-101B-9397-08002B2CF9AE}" pid="15" name="submitid">
    <vt:lpwstr>WR72061R2</vt:lpwstr>
  </property>
  <property fmtid="{D5CDD505-2E9C-101B-9397-08002B2CF9AE}" pid="16" name="submitjournal">
    <vt:lpwstr>Water Research</vt:lpwstr>
  </property>
  <property fmtid="{D5CDD505-2E9C-101B-9397-08002B2CF9AE}" pid="17" name="toc-title">
    <vt:lpwstr>Table of contents</vt:lpwstr>
  </property>
</Properties>
</file>