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Early</w:t>
      </w:r>
      <w:r>
        <w:t xml:space="preserve"> </w:t>
      </w:r>
      <w:r>
        <w:t xml:space="preserve">warning</w:t>
      </w:r>
      <w:r>
        <w:t xml:space="preserve"> </w:t>
      </w:r>
      <w:r>
        <w:t xml:space="preserve">of</w:t>
      </w:r>
      <w:r>
        <w:t xml:space="preserve"> </w:t>
      </w:r>
      <w:r>
        <w:t xml:space="preserve">MIB</w:t>
      </w:r>
      <w:r>
        <w:t xml:space="preserve"> </w:t>
      </w:r>
      <w:r>
        <w:t xml:space="preserve">episode</w:t>
      </w:r>
      <w:r>
        <w:t xml:space="preserve"> </w:t>
      </w:r>
      <w:r>
        <w:t xml:space="preserve">based</w:t>
      </w:r>
      <w:r>
        <w:t xml:space="preserve"> </w:t>
      </w:r>
      <w:r>
        <w:t xml:space="preserve">on</w:t>
      </w:r>
      <w:r>
        <w:t xml:space="preserve"> </w:t>
      </w:r>
      <w:r>
        <w:t xml:space="preserve">gene</w:t>
      </w:r>
      <w:r>
        <w:t xml:space="preserve"> </w:t>
      </w:r>
      <w:r>
        <w:t xml:space="preserve">abundance</w:t>
      </w:r>
      <w:r>
        <w:t xml:space="preserve"> </w:t>
      </w:r>
      <w:r>
        <w:t xml:space="preserve">and</w:t>
      </w:r>
      <w:r>
        <w:t xml:space="preserve"> </w:t>
      </w:r>
      <w:r>
        <w:t xml:space="preserve">expression</w:t>
      </w:r>
      <w:r>
        <w:t xml:space="preserve"> </w:t>
      </w:r>
      <w:r>
        <w:t xml:space="preserve">in</w:t>
      </w:r>
      <w:r>
        <w:t xml:space="preserve"> </w:t>
      </w:r>
      <w:r>
        <w:t xml:space="preserve">drinking</w:t>
      </w:r>
      <w:r>
        <w:t xml:space="preserve"> </w:t>
      </w:r>
      <w:r>
        <w:t xml:space="preserve">water</w:t>
      </w:r>
      <w:r>
        <w:t xml:space="preserve"> </w:t>
      </w:r>
      <w:r>
        <w:t xml:space="preserve">reservoirs</w:t>
      </w:r>
    </w:p>
    <w:p>
      <w:pPr>
        <w:pStyle w:val="FirstParagraph"/>
      </w:pPr>
      <w:r>
        <w:t xml:space="preserve">Tengxin Cao</w:t>
      </w:r>
      <w:r>
        <w:rPr>
          <w:vertAlign w:val="superscript"/>
        </w:rPr>
        <w:t xml:space="preserve">1,6,7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</w:t>
      </w:r>
      <w:r>
        <w:t xml:space="preserve">, </w:t>
      </w:r>
      <w:r>
        <w:t xml:space="preserve">Zeyu Jia</w:t>
      </w:r>
      <w:r>
        <w:rPr>
          <w:vertAlign w:val="superscript"/>
        </w:rPr>
        <w:t xml:space="preserve">3,1</w:t>
      </w:r>
      <w:r>
        <w:t xml:space="preserve">, </w:t>
      </w:r>
      <w:r>
        <w:t xml:space="preserve">Yiping Zhu</w:t>
      </w:r>
      <w:r>
        <w:rPr>
          <w:vertAlign w:val="superscript"/>
        </w:rPr>
        <w:t xml:space="preserve">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1,2,7,*</w:t>
      </w:r>
      <w:r>
        <w:t xml:space="preserve">, </w:t>
      </w:r>
      <w:r>
        <w:t xml:space="preserve">Qi Zhang</w:t>
      </w:r>
      <w:r>
        <w:rPr>
          <w:vertAlign w:val="superscript"/>
        </w:rPr>
        <w:t xml:space="preserve">5</w:t>
      </w:r>
      <w:r>
        <w:t xml:space="preserve">, </w:t>
      </w:r>
      <w:r>
        <w:t xml:space="preserve">Yichao Song</w:t>
      </w:r>
      <w:r>
        <w:rPr>
          <w:vertAlign w:val="superscript"/>
        </w:rPr>
        <w:t xml:space="preserve">4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1,2,7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2,1,7,*</w:t>
      </w:r>
    </w:p>
    <w:p>
      <w:pPr>
        <w:pStyle w:val="BodyText"/>
      </w:pPr>
      <w:r>
        <w:t xml:space="preserve">1. Key Laboratory of Drinking Water Science and Technology, Research Center for Eco-Environmental Sciences, Chinese Academy of Sciences, P.O. Box 2871, Beijing, 100085.</w:t>
      </w:r>
    </w:p>
    <w:p>
      <w:pPr>
        <w:pStyle w:val="BodyText"/>
      </w:pPr>
      <w:r>
        <w:t xml:space="preserve">2. National Engineering Research Center of Industrial Wastewater Detoxication and Resource Recovery, Research Center for Eco-Environmental Sciences, Chinese Academy of Sciences, P.O. Box 2871, Beijing, 100085.</w:t>
      </w:r>
    </w:p>
    <w:p>
      <w:pPr>
        <w:pStyle w:val="BodyText"/>
      </w:pPr>
      <w:r>
        <w:t xml:space="preserve">3. Yangtze Eco-Environment Engineering Research Center, China Three Gorges Corporation, Beijing, 100038.</w:t>
      </w:r>
    </w:p>
    <w:p>
      <w:pPr>
        <w:pStyle w:val="BodyText"/>
      </w:pPr>
      <w:r>
        <w:t xml:space="preserve">4. Shanghai Chengtou Raw Water Co. Ltd., Beiai Rd. 1540, Shanghai, 200125.</w:t>
      </w:r>
    </w:p>
    <w:p>
      <w:pPr>
        <w:pStyle w:val="BodyText"/>
      </w:pPr>
      <w:r>
        <w:t xml:space="preserve">5. Institute of Hydrobiology, Chinese Academy of Sciences, No. 7 Donghu South Road, Wuchang, Wuhan, 430072.</w:t>
      </w:r>
    </w:p>
    <w:p>
      <w:pPr>
        <w:pStyle w:val="BodyText"/>
      </w:pPr>
      <w:r>
        <w:t xml:space="preserve">6. Sino-Danish College, University of Chinese Academy of Sciences, Beijing, 100049.</w:t>
      </w:r>
    </w:p>
    <w:p>
      <w:pPr>
        <w:pStyle w:val="BodyText"/>
      </w:pPr>
      <w:r>
        <w:t xml:space="preserve">7.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Higher light intensity promoted the</w:t>
      </w:r>
      <w:r>
        <w:t xml:space="preserve"> </w:t>
      </w:r>
      <w:r>
        <w:rPr>
          <w:i/>
          <w:iCs/>
        </w:rPr>
        <w:t xml:space="preserve">mic</w:t>
      </w:r>
      <w:r>
        <w:t xml:space="preserve"> </w:t>
      </w:r>
      <w:r>
        <w:t xml:space="preserve">gene expression level for</w:t>
      </w:r>
      <w:r>
        <w:t xml:space="preserve"> </w:t>
      </w:r>
      <w:r>
        <w:rPr>
          <w:i/>
          <w:iCs/>
        </w:rPr>
        <w:t xml:space="preserve">Pseudanabaena</w:t>
      </w:r>
    </w:p>
    <w:p>
      <w:pPr>
        <w:pStyle w:val="Compact"/>
        <w:numPr>
          <w:ilvl w:val="0"/>
          <w:numId w:val="1001"/>
        </w:numPr>
      </w:pPr>
      <w:r>
        <w:t xml:space="preserve">Expression of MIB synthesis gene (</w:t>
      </w:r>
      <w:r>
        <w:rPr>
          <w:i/>
          <w:iCs/>
        </w:rPr>
        <w:t xml:space="preserve">mic</w:t>
      </w:r>
      <w:r>
        <w:t xml:space="preserve">) is light dependent in field water</w:t>
      </w:r>
    </w:p>
    <w:p>
      <w:pPr>
        <w:pStyle w:val="Compact"/>
        <w:numPr>
          <w:ilvl w:val="0"/>
          <w:numId w:val="1001"/>
        </w:numPr>
      </w:pPr>
      <w:r>
        <w:rPr>
          <w:i/>
          <w:iCs/>
        </w:rPr>
        <w:t xml:space="preserve">Mic</w:t>
      </w:r>
      <w:r>
        <w:t xml:space="preserve"> </w:t>
      </w:r>
      <w:r>
        <w:t xml:space="preserve">abundance/expression can be used for the early warning of MIB episode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warning of MIB episode based on gene abundance and expression in drinking water reservoirs</dc:title>
  <dc:creator/>
  <cp:keywords/>
  <dcterms:created xsi:type="dcterms:W3CDTF">2024-04-30T07:57:30Z</dcterms:created>
  <dcterms:modified xsi:type="dcterms:W3CDTF">2024-04-30T07:57:30Z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submitid">
    <vt:lpwstr>WR72061R2</vt:lpwstr>
  </property>
  <property fmtid="{D5CDD505-2E9C-101B-9397-08002B2CF9AE}" pid="11" name="submitjournal">
    <vt:lpwstr>Water Research</vt:lpwstr>
  </property>
  <property fmtid="{D5CDD505-2E9C-101B-9397-08002B2CF9AE}" pid="12" name="toc-title">
    <vt:lpwstr>Table of contents</vt:lpwstr>
  </property>
</Properties>
</file>